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xmlns:c="http://schemas.openxmlformats.org/drawingml/2006/chart" mc:Ignorable="w14 w15 w16se w16cid w16 w16cex w16sdtdh w16sdtfl w16du wp14">
  <w:body>
    <w:p w:rsidRPr="00E1010D" w:rsidR="00E46395" w:rsidP="001B547B" w:rsidRDefault="00E46395" w14:paraId="358CCA88" w14:textId="0F6335F9">
      <w:pPr>
        <w:tabs>
          <w:tab w:val="num" w:pos="360"/>
        </w:tabs>
        <w:jc w:val="center"/>
        <w:rPr>
          <w:rFonts w:ascii="Work Sans" w:hAnsi="Work Sans" w:cs="Arial"/>
          <w:sz w:val="28"/>
          <w:szCs w:val="28"/>
        </w:rPr>
      </w:pPr>
      <w:r w:rsidRPr="00E1010D">
        <w:rPr>
          <w:rFonts w:ascii="Work Sans" w:hAnsi="Work Sans" w:cs="Arial"/>
          <w:sz w:val="28"/>
          <w:szCs w:val="28"/>
        </w:rPr>
        <w:t>GRUPO DE GESTIÓN DEL SECTOR ELÉCTRICO COLOMBIANO</w:t>
      </w:r>
    </w:p>
    <w:p w:rsidR="00E46395" w:rsidP="001B547B" w:rsidRDefault="00E46395" w14:paraId="2345386B" w14:textId="77777777">
      <w:pPr>
        <w:tabs>
          <w:tab w:val="num" w:pos="360"/>
        </w:tabs>
        <w:jc w:val="both"/>
        <w:rPr>
          <w:rFonts w:ascii="Work Sans" w:hAnsi="Work Sans" w:cs="Arial"/>
        </w:rPr>
      </w:pPr>
    </w:p>
    <w:p w:rsidR="351E7217" w:rsidP="75E30AF4" w:rsidRDefault="351E7217" w14:paraId="70778370" w14:textId="5456037D">
      <w:pPr>
        <w:pStyle w:val="Heading3"/>
        <w:numPr>
          <w:ilvl w:val="2"/>
          <w:numId w:val="9"/>
        </w:numPr>
        <w:tabs>
          <w:tab w:val="num" w:pos="360"/>
        </w:tabs>
        <w:spacing w:before="0" w:after="0"/>
        <w:jc w:val="both"/>
      </w:pPr>
      <w:r w:rsidRPr="75E30AF4">
        <w:rPr>
          <w:rFonts w:ascii="Work Sans" w:hAnsi="Work Sans" w:cs="Arial"/>
          <w:sz w:val="24"/>
          <w:szCs w:val="24"/>
        </w:rPr>
        <w:t>GESTIÓN DEL SECTOR ELÉCTRICO COLOMBIANO</w:t>
      </w:r>
    </w:p>
    <w:p w:rsidR="75E30AF4" w:rsidP="75E30AF4" w:rsidRDefault="75E30AF4" w14:paraId="67A508F1" w14:textId="57BBD8DD">
      <w:pPr>
        <w:tabs>
          <w:tab w:val="num" w:pos="360"/>
        </w:tabs>
        <w:jc w:val="both"/>
        <w:rPr>
          <w:rFonts w:ascii="Work Sans" w:hAnsi="Work Sans" w:cs="Arial"/>
        </w:rPr>
      </w:pPr>
    </w:p>
    <w:p w:rsidRPr="00E1010D" w:rsidR="00EA7F96" w:rsidP="75E30AF4" w:rsidRDefault="00E21CB3" w14:paraId="1A6BC4A6" w14:textId="2D9ADF19">
      <w:pPr>
        <w:pStyle w:val="Heading3"/>
        <w:numPr>
          <w:ilvl w:val="3"/>
          <w:numId w:val="9"/>
        </w:numPr>
        <w:tabs>
          <w:tab w:val="num" w:pos="360"/>
        </w:tabs>
        <w:spacing w:before="0" w:after="0"/>
        <w:jc w:val="both"/>
        <w:rPr>
          <w:rFonts w:ascii="Work Sans" w:hAnsi="Work Sans" w:cs="Arial"/>
          <w:sz w:val="24"/>
          <w:szCs w:val="24"/>
        </w:rPr>
      </w:pPr>
      <w:r>
        <w:rPr>
          <w:rFonts w:ascii="Work Sans" w:hAnsi="Work Sans" w:cs="Arial"/>
          <w:sz w:val="24"/>
          <w:szCs w:val="24"/>
        </w:rPr>
        <w:t xml:space="preserve">G – </w:t>
      </w:r>
      <w:proofErr w:type="spellStart"/>
      <w:r>
        <w:rPr>
          <w:rFonts w:ascii="Work Sans" w:hAnsi="Work Sans" w:cs="Arial"/>
          <w:sz w:val="24"/>
          <w:szCs w:val="24"/>
        </w:rPr>
        <w:t>Goal</w:t>
      </w:r>
      <w:proofErr w:type="spellEnd"/>
      <w:r>
        <w:rPr>
          <w:rFonts w:ascii="Work Sans" w:hAnsi="Work Sans" w:cs="Arial"/>
          <w:sz w:val="24"/>
          <w:szCs w:val="24"/>
        </w:rPr>
        <w:t xml:space="preserve"> – Objetivo Estratégico</w:t>
      </w:r>
    </w:p>
    <w:p w:rsidR="00EA7F96" w:rsidP="001B547B" w:rsidRDefault="00EA7F96" w14:paraId="60D6077A" w14:textId="77777777">
      <w:pPr>
        <w:tabs>
          <w:tab w:val="num" w:pos="360"/>
        </w:tabs>
        <w:jc w:val="both"/>
        <w:rPr>
          <w:rFonts w:ascii="Work Sans" w:hAnsi="Work Sans" w:cs="Arial"/>
        </w:rPr>
      </w:pPr>
    </w:p>
    <w:p w:rsidRPr="00E21CB3" w:rsidR="00E21CB3" w:rsidP="00E21CB3" w:rsidRDefault="009677D9" w14:paraId="222DF522" w14:textId="7BE0C7B0">
      <w:pPr>
        <w:tabs>
          <w:tab w:val="num" w:pos="360"/>
        </w:tabs>
        <w:jc w:val="both"/>
        <w:rPr>
          <w:rFonts w:ascii="Work Sans" w:hAnsi="Work Sans" w:cs="Arial"/>
        </w:rPr>
      </w:pPr>
      <w:r>
        <w:rPr>
          <w:rFonts w:ascii="Work Sans" w:hAnsi="Work Sans" w:cs="Arial"/>
        </w:rPr>
        <w:t>El</w:t>
      </w:r>
      <w:r w:rsidRPr="00E21CB3" w:rsidR="00E21CB3">
        <w:rPr>
          <w:rFonts w:ascii="Work Sans" w:hAnsi="Work Sans" w:cs="Arial"/>
        </w:rPr>
        <w:t xml:space="preserve"> Grupo </w:t>
      </w:r>
      <w:r w:rsidR="003E04F3">
        <w:rPr>
          <w:rFonts w:ascii="Work Sans" w:hAnsi="Work Sans" w:cs="Arial"/>
        </w:rPr>
        <w:t>de</w:t>
      </w:r>
      <w:r w:rsidRPr="00E21CB3" w:rsidR="00E21CB3">
        <w:rPr>
          <w:rFonts w:ascii="Work Sans" w:hAnsi="Work Sans" w:cs="Arial"/>
        </w:rPr>
        <w:t xml:space="preserve"> Gestión del Sector Eléctrico Colombiano</w:t>
      </w:r>
      <w:r>
        <w:rPr>
          <w:rFonts w:ascii="Work Sans" w:hAnsi="Work Sans" w:cs="Arial"/>
        </w:rPr>
        <w:t xml:space="preserve"> tiene como propósito ser la</w:t>
      </w:r>
      <w:r w:rsidRPr="00E21CB3" w:rsidR="00E21CB3">
        <w:rPr>
          <w:rFonts w:ascii="Work Sans" w:hAnsi="Work Sans" w:cs="Arial"/>
        </w:rPr>
        <w:t xml:space="preserve"> instancia técnica estratégica</w:t>
      </w:r>
      <w:r w:rsidR="00F62E6A">
        <w:rPr>
          <w:rFonts w:ascii="Work Sans" w:hAnsi="Work Sans" w:cs="Arial"/>
        </w:rPr>
        <w:t xml:space="preserve"> del</w:t>
      </w:r>
      <w:r w:rsidRPr="00E21CB3" w:rsidR="00E21CB3">
        <w:rPr>
          <w:rFonts w:ascii="Work Sans" w:hAnsi="Work Sans" w:cs="Arial"/>
        </w:rPr>
        <w:t xml:space="preserve"> </w:t>
      </w:r>
      <w:r w:rsidR="00F62E6A">
        <w:rPr>
          <w:rFonts w:ascii="Work Sans" w:hAnsi="Work Sans" w:cs="Arial"/>
        </w:rPr>
        <w:t>Ministerio de Minas y Energía</w:t>
      </w:r>
      <w:r w:rsidRPr="00E21CB3" w:rsidR="00E21CB3">
        <w:rPr>
          <w:rFonts w:ascii="Work Sans" w:hAnsi="Work Sans" w:cs="Arial"/>
        </w:rPr>
        <w:t xml:space="preserve"> para la formulación, seguimiento y evaluación de la política pública del subsector eléctrico, fortaleciendo la capacidad institucional del Ministerio de Minas y Energía para monitorear el comportamiento del sistema eléctrico nacional, apoyar la planeación y expansión de la infraestructura energética, identificar riesgos para la confiabilidad y seguridad energética del país, y generar información técnica que facilite la toma de decisiones orientadas al mejoramiento de la calidad, continuidad y sostenibilidad del servicio de energía eléctrica.</w:t>
      </w:r>
    </w:p>
    <w:p w:rsidRPr="00E21CB3" w:rsidR="00E21CB3" w:rsidP="00E21CB3" w:rsidRDefault="00E21CB3" w14:paraId="5821D85E" w14:textId="77777777">
      <w:pPr>
        <w:tabs>
          <w:tab w:val="num" w:pos="360"/>
        </w:tabs>
        <w:jc w:val="both"/>
        <w:rPr>
          <w:rFonts w:ascii="Work Sans" w:hAnsi="Work Sans" w:cs="Arial"/>
        </w:rPr>
      </w:pPr>
    </w:p>
    <w:p w:rsidRPr="005145B4" w:rsidR="005145B4" w:rsidP="005145B4" w:rsidRDefault="005145B4" w14:paraId="57F68802" w14:textId="77777777">
      <w:pPr>
        <w:tabs>
          <w:tab w:val="num" w:pos="360"/>
        </w:tabs>
        <w:jc w:val="both"/>
        <w:rPr>
          <w:rFonts w:ascii="Work Sans" w:hAnsi="Work Sans" w:cs="Arial"/>
        </w:rPr>
      </w:pPr>
      <w:r w:rsidRPr="005145B4">
        <w:rPr>
          <w:rFonts w:ascii="Work Sans" w:hAnsi="Work Sans" w:cs="Arial"/>
        </w:rPr>
        <w:t>En desarrollo de este propósito, el Grupo orientó su gestión al seguimiento de la política pública del subsector eléctrico y al monitoreo permanente de las principales variables que inciden en la seguridad energética, la confiabilidad del sistema y la transición energética del país. Para ello, realizó seguimiento a las metas sectoriales, a la expansión del Sistema Interconectado Nacional, a la incorporación de Fuentes No Convencionales de Energía Renovable, a los indicadores de suficiencia y confiabilidad energética, así como al avance de proyectos estratégicos de generación y transmisión de energía eléctrica.</w:t>
      </w:r>
    </w:p>
    <w:p w:rsidRPr="005145B4" w:rsidR="005145B4" w:rsidP="005145B4" w:rsidRDefault="005145B4" w14:paraId="27CC928A" w14:textId="77777777">
      <w:pPr>
        <w:tabs>
          <w:tab w:val="num" w:pos="360"/>
        </w:tabs>
        <w:jc w:val="both"/>
        <w:rPr>
          <w:rFonts w:ascii="Work Sans" w:hAnsi="Work Sans" w:cs="Arial"/>
        </w:rPr>
      </w:pPr>
    </w:p>
    <w:p w:rsidR="00EA7F96" w:rsidP="005145B4" w:rsidRDefault="005145B4" w14:paraId="185F89DD" w14:textId="6E1E7B7E">
      <w:pPr>
        <w:tabs>
          <w:tab w:val="num" w:pos="360"/>
        </w:tabs>
        <w:jc w:val="both"/>
        <w:rPr>
          <w:rFonts w:ascii="Work Sans" w:hAnsi="Work Sans" w:cs="Arial"/>
        </w:rPr>
      </w:pPr>
      <w:r w:rsidRPr="005145B4">
        <w:rPr>
          <w:rFonts w:ascii="Work Sans" w:hAnsi="Work Sans" w:cs="Arial"/>
        </w:rPr>
        <w:t>De manera complementaria, el Grupo fortaleció las capacidades institucionales para el análisis y seguimiento del sector mediante la consolidación de herramientas de monitoreo, la elaboración de análisis técnicos especializados, la identificación temprana de riesgos y alertas sectoriales, y la generación de insumos para la formulación de política pública y la toma de decisiones estratégicas por parte del Ministerio de Minas y Energía. Estas actividades contribuyeron al seguimiento de la Estrategia 6GW+, la preparación del sector frente al posible Fenómeno de El Niño 2026-2027, el monitoreo de la operación y expansión del sistema eléctrico y la evaluación de proyectos e iniciativas prioritarias para la seguridad energética y el desarrollo sostenible del país.</w:t>
      </w:r>
    </w:p>
    <w:p w:rsidR="00E21CB3" w:rsidP="001B547B" w:rsidRDefault="00E21CB3" w14:paraId="6A1A950D" w14:textId="77777777">
      <w:pPr>
        <w:tabs>
          <w:tab w:val="num" w:pos="360"/>
        </w:tabs>
        <w:jc w:val="both"/>
        <w:rPr>
          <w:rFonts w:ascii="Work Sans" w:hAnsi="Work Sans" w:cs="Arial"/>
        </w:rPr>
      </w:pPr>
    </w:p>
    <w:p w:rsidR="00E21CB3" w:rsidP="001B547B" w:rsidRDefault="00E21CB3" w14:paraId="3F7BD304" w14:textId="77777777">
      <w:pPr>
        <w:tabs>
          <w:tab w:val="num" w:pos="360"/>
        </w:tabs>
        <w:jc w:val="both"/>
        <w:rPr>
          <w:rFonts w:ascii="Work Sans" w:hAnsi="Work Sans" w:cs="Arial"/>
        </w:rPr>
      </w:pPr>
    </w:p>
    <w:p w:rsidRPr="00E1010D" w:rsidR="00E21CB3" w:rsidP="00743EAE" w:rsidRDefault="00BC04A5" w14:paraId="595D3AB8" w14:textId="3AC35B69">
      <w:pPr>
        <w:pStyle w:val="Heading3"/>
        <w:numPr>
          <w:ilvl w:val="3"/>
          <w:numId w:val="9"/>
        </w:numPr>
        <w:tabs>
          <w:tab w:val="num" w:pos="360"/>
        </w:tabs>
        <w:spacing w:before="0" w:after="0"/>
        <w:jc w:val="both"/>
        <w:rPr>
          <w:rFonts w:ascii="Work Sans" w:hAnsi="Work Sans" w:cs="Arial"/>
          <w:sz w:val="24"/>
          <w:szCs w:val="24"/>
        </w:rPr>
      </w:pPr>
      <w:r>
        <w:rPr>
          <w:rFonts w:ascii="Work Sans" w:hAnsi="Work Sans" w:cs="Arial"/>
          <w:sz w:val="24"/>
          <w:szCs w:val="24"/>
        </w:rPr>
        <w:t>R – Reality – Situación Actual y Resultados Alcanzados</w:t>
      </w:r>
    </w:p>
    <w:p w:rsidR="00E21CB3" w:rsidP="001B547B" w:rsidRDefault="00E21CB3" w14:paraId="1AF8E45B" w14:textId="77777777">
      <w:pPr>
        <w:tabs>
          <w:tab w:val="num" w:pos="360"/>
        </w:tabs>
        <w:jc w:val="both"/>
        <w:rPr>
          <w:rFonts w:ascii="Work Sans" w:hAnsi="Work Sans" w:cs="Arial"/>
        </w:rPr>
      </w:pPr>
    </w:p>
    <w:p w:rsidRPr="00E1010D" w:rsidR="00EA7F96" w:rsidP="001B547B" w:rsidRDefault="00EA7F96" w14:paraId="2D831FE8" w14:textId="77777777">
      <w:pPr>
        <w:tabs>
          <w:tab w:val="num" w:pos="360"/>
        </w:tabs>
        <w:jc w:val="both"/>
        <w:rPr>
          <w:rFonts w:ascii="Work Sans" w:hAnsi="Work Sans" w:cs="Arial"/>
        </w:rPr>
      </w:pPr>
    </w:p>
    <w:p w:rsidRPr="00E1010D" w:rsidR="00F44F3E" w:rsidP="00400EB1" w:rsidRDefault="00E46395" w14:paraId="57FF8503" w14:textId="48FC5A6D">
      <w:pPr>
        <w:pStyle w:val="Heading3"/>
        <w:numPr>
          <w:ilvl w:val="4"/>
          <w:numId w:val="9"/>
        </w:numPr>
        <w:tabs>
          <w:tab w:val="num" w:pos="360"/>
        </w:tabs>
        <w:spacing w:before="0" w:after="0"/>
        <w:jc w:val="both"/>
        <w:rPr>
          <w:rFonts w:ascii="Work Sans" w:hAnsi="Work Sans" w:cs="Arial"/>
          <w:sz w:val="24"/>
          <w:szCs w:val="24"/>
        </w:rPr>
      </w:pPr>
      <w:r w:rsidRPr="00E1010D">
        <w:rPr>
          <w:rFonts w:ascii="Work Sans" w:hAnsi="Work Sans" w:cs="Arial"/>
          <w:sz w:val="24"/>
          <w:szCs w:val="24"/>
        </w:rPr>
        <w:t>POLÍTICA</w:t>
      </w:r>
      <w:r w:rsidRPr="00E1010D" w:rsidR="00F44F3E">
        <w:rPr>
          <w:rFonts w:ascii="Work Sans" w:hAnsi="Work Sans" w:cs="Arial"/>
          <w:sz w:val="24"/>
          <w:szCs w:val="24"/>
        </w:rPr>
        <w:t xml:space="preserve"> SECTOR</w:t>
      </w:r>
      <w:r w:rsidRPr="00E1010D">
        <w:rPr>
          <w:rFonts w:ascii="Work Sans" w:hAnsi="Work Sans" w:cs="Arial"/>
          <w:sz w:val="24"/>
          <w:szCs w:val="24"/>
        </w:rPr>
        <w:t>IAL</w:t>
      </w:r>
    </w:p>
    <w:p w:rsidRPr="00E1010D" w:rsidR="00EC529A" w:rsidP="001B547B" w:rsidRDefault="00EC529A" w14:paraId="2BB80E57" w14:textId="77777777">
      <w:pPr>
        <w:jc w:val="both"/>
        <w:rPr>
          <w:rFonts w:ascii="Work Sans" w:hAnsi="Work Sans" w:eastAsia="Work Sans" w:cs="Arial"/>
          <w:color w:val="000000" w:themeColor="text1"/>
          <w:lang w:eastAsia="es-ES" w:bidi="es-ES"/>
        </w:rPr>
      </w:pPr>
    </w:p>
    <w:p w:rsidRPr="00E1010D" w:rsidR="0057221C" w:rsidP="00400EB1" w:rsidRDefault="0057221C" w14:paraId="5FA4F82A" w14:textId="700062D7">
      <w:pPr>
        <w:pStyle w:val="Heading4"/>
        <w:numPr>
          <w:ilvl w:val="5"/>
          <w:numId w:val="9"/>
        </w:numPr>
        <w:tabs>
          <w:tab w:val="num" w:pos="360"/>
        </w:tabs>
        <w:spacing w:before="0" w:after="0"/>
        <w:jc w:val="both"/>
        <w:rPr>
          <w:rFonts w:ascii="Work Sans" w:hAnsi="Work Sans" w:cs="Arial"/>
        </w:rPr>
      </w:pPr>
      <w:r w:rsidRPr="00E1010D">
        <w:rPr>
          <w:rFonts w:ascii="Work Sans" w:hAnsi="Work Sans" w:cs="Arial"/>
        </w:rPr>
        <w:t>Estrategia 6</w:t>
      </w:r>
      <w:r w:rsidRPr="00E1010D" w:rsidR="00E46395">
        <w:rPr>
          <w:rFonts w:ascii="Work Sans" w:hAnsi="Work Sans" w:cs="Arial"/>
        </w:rPr>
        <w:t>GW</w:t>
      </w:r>
      <w:r w:rsidRPr="00E1010D">
        <w:rPr>
          <w:rFonts w:ascii="Work Sans" w:hAnsi="Work Sans" w:cs="Arial"/>
        </w:rPr>
        <w:t>+</w:t>
      </w:r>
    </w:p>
    <w:p w:rsidRPr="00E1010D" w:rsidR="0057221C" w:rsidP="001B547B" w:rsidRDefault="0057221C" w14:paraId="5DE4EB0C" w14:textId="77777777">
      <w:pPr>
        <w:jc w:val="both"/>
        <w:rPr>
          <w:rFonts w:ascii="Work Sans" w:hAnsi="Work Sans" w:eastAsia="Work Sans" w:cs="Arial"/>
          <w:color w:val="000000" w:themeColor="text1"/>
          <w:lang w:eastAsia="es-ES" w:bidi="es-ES"/>
        </w:rPr>
      </w:pPr>
    </w:p>
    <w:p w:rsidRPr="00E1010D" w:rsidR="00EC529A" w:rsidP="00400EB1" w:rsidRDefault="00044961" w14:paraId="4F0AE5BD" w14:textId="43BC9B48">
      <w:pPr>
        <w:pStyle w:val="Heading4"/>
        <w:numPr>
          <w:ilvl w:val="6"/>
          <w:numId w:val="9"/>
        </w:numPr>
        <w:tabs>
          <w:tab w:val="num" w:pos="360"/>
        </w:tabs>
        <w:spacing w:before="0" w:after="0"/>
        <w:jc w:val="both"/>
        <w:rPr>
          <w:rFonts w:ascii="Work Sans" w:hAnsi="Work Sans" w:cs="Arial"/>
        </w:rPr>
      </w:pPr>
      <w:bookmarkStart w:name="_Toc223695481" w:id="0"/>
      <w:r w:rsidRPr="00E1010D">
        <w:rPr>
          <w:rFonts w:ascii="Work Sans" w:hAnsi="Work Sans" w:cs="Arial"/>
        </w:rPr>
        <w:t>¿Qué</w:t>
      </w:r>
      <w:r w:rsidRPr="00E1010D" w:rsidR="00A372F7">
        <w:rPr>
          <w:rFonts w:ascii="Work Sans" w:hAnsi="Work Sans" w:cs="Arial"/>
        </w:rPr>
        <w:t xml:space="preserve"> es la </w:t>
      </w:r>
      <w:r w:rsidRPr="00E1010D" w:rsidR="00EC529A">
        <w:rPr>
          <w:rFonts w:ascii="Work Sans" w:hAnsi="Work Sans" w:cs="Arial"/>
        </w:rPr>
        <w:t>estrategia 6</w:t>
      </w:r>
      <w:r w:rsidRPr="00E1010D" w:rsidR="00A372F7">
        <w:rPr>
          <w:rFonts w:ascii="Work Sans" w:hAnsi="Work Sans" w:cs="Arial"/>
        </w:rPr>
        <w:t>GW</w:t>
      </w:r>
      <w:r w:rsidRPr="00E1010D" w:rsidR="00EC529A">
        <w:rPr>
          <w:rFonts w:ascii="Work Sans" w:hAnsi="Work Sans" w:cs="Arial"/>
        </w:rPr>
        <w:t>+</w:t>
      </w:r>
      <w:bookmarkEnd w:id="0"/>
      <w:r w:rsidRPr="00E1010D" w:rsidR="00A372F7">
        <w:rPr>
          <w:rFonts w:ascii="Work Sans" w:hAnsi="Work Sans" w:cs="Arial"/>
        </w:rPr>
        <w:t>?</w:t>
      </w:r>
    </w:p>
    <w:p w:rsidR="00270925" w:rsidP="001B547B" w:rsidRDefault="00270925" w14:paraId="3E908EFD" w14:textId="77777777">
      <w:pPr>
        <w:jc w:val="both"/>
        <w:rPr>
          <w:rFonts w:ascii="Work Sans" w:hAnsi="Work Sans" w:eastAsia="Work Sans" w:cs="Arial"/>
        </w:rPr>
      </w:pPr>
    </w:p>
    <w:p w:rsidRPr="00E1010D" w:rsidR="00EC529A" w:rsidP="001B547B" w:rsidRDefault="00EC529A" w14:paraId="701C5E19" w14:textId="77777777">
      <w:pPr>
        <w:jc w:val="both"/>
        <w:rPr>
          <w:rFonts w:ascii="Work Sans" w:hAnsi="Work Sans" w:cs="Arial"/>
        </w:rPr>
      </w:pPr>
      <w:r w:rsidRPr="00E1010D">
        <w:rPr>
          <w:rFonts w:ascii="Work Sans" w:hAnsi="Work Sans" w:eastAsia="Work Sans" w:cs="Arial"/>
        </w:rPr>
        <w:t>La iniciativa liderada por el Ministerio de Minas y Energía y la Unidad de Planeación Minero-Energética (UPME) busca acelerar la transición energética en Colombia mediante la incorporación de Fuentes No Convencionales de Energía Renovable y tecnologías limpias, superando barreras técnicas, regulatorias, sociales y de seguridad que limitaban la entrada en operación de proyectos de generación y transmisión, con el fin de ampliar la capacidad instalada, diversificar la matriz energética y fortalecer la seguridad energética del país.</w:t>
      </w:r>
    </w:p>
    <w:p w:rsidRPr="00E1010D" w:rsidR="00270925" w:rsidP="001B547B" w:rsidRDefault="00270925" w14:paraId="55B22C5C" w14:textId="77777777">
      <w:pPr>
        <w:jc w:val="both"/>
        <w:rPr>
          <w:rFonts w:ascii="Work Sans" w:hAnsi="Work Sans" w:cs="Arial"/>
        </w:rPr>
      </w:pPr>
    </w:p>
    <w:p w:rsidRPr="00E1010D" w:rsidR="00EC529A" w:rsidP="00400EB1" w:rsidRDefault="00EC529A" w14:paraId="01D4C5A7" w14:textId="77777777">
      <w:pPr>
        <w:pStyle w:val="Heading4"/>
        <w:numPr>
          <w:ilvl w:val="6"/>
          <w:numId w:val="9"/>
        </w:numPr>
        <w:tabs>
          <w:tab w:val="num" w:pos="360"/>
        </w:tabs>
        <w:spacing w:before="0" w:after="0"/>
        <w:jc w:val="both"/>
        <w:rPr>
          <w:rFonts w:ascii="Work Sans" w:hAnsi="Work Sans" w:cs="Arial"/>
        </w:rPr>
      </w:pPr>
      <w:bookmarkStart w:name="_Toc223695482" w:id="1"/>
      <w:r w:rsidRPr="00E1010D">
        <w:rPr>
          <w:rFonts w:ascii="Work Sans" w:hAnsi="Work Sans" w:cs="Arial"/>
        </w:rPr>
        <w:t>Definición del indicador de seguimiento del plan</w:t>
      </w:r>
      <w:bookmarkEnd w:id="1"/>
    </w:p>
    <w:p w:rsidRPr="00E1010D" w:rsidR="00EC529A" w:rsidP="001B547B" w:rsidRDefault="00EC529A" w14:paraId="5AAF5076" w14:textId="77777777">
      <w:pPr>
        <w:pStyle w:val="ListParagraph"/>
        <w:ind w:left="360"/>
        <w:jc w:val="both"/>
        <w:rPr>
          <w:rFonts w:ascii="Work Sans" w:hAnsi="Work Sans" w:cs="Arial"/>
          <w:b/>
          <w:bCs/>
        </w:rPr>
      </w:pPr>
    </w:p>
    <w:p w:rsidRPr="00E1010D" w:rsidR="00EC529A" w:rsidP="001B547B" w:rsidRDefault="00EC529A" w14:paraId="12AEB2F0" w14:textId="77777777">
      <w:pPr>
        <w:jc w:val="both"/>
        <w:rPr>
          <w:rFonts w:ascii="Work Sans" w:hAnsi="Work Sans" w:cs="Arial"/>
        </w:rPr>
      </w:pPr>
      <w:r w:rsidRPr="00E1010D">
        <w:rPr>
          <w:rFonts w:ascii="Work Sans" w:hAnsi="Work Sans" w:cs="Arial" w:eastAsiaTheme="minorEastAsia"/>
        </w:rPr>
        <w:t>En el marco de la implementación de la estrategia 6GW, uno de los componentes fundamentales del plan de trabajo consistió en la consolidación integral y representativa del indicador que refleje el avance real de los proyectos de generación a partir de Fuentes No Convencionales de Energía Renovable (FNCER) en el país.</w:t>
      </w:r>
    </w:p>
    <w:p w:rsidRPr="00E1010D" w:rsidR="00EC529A" w:rsidP="001B547B" w:rsidRDefault="00EC529A" w14:paraId="5313532A" w14:textId="77777777">
      <w:pPr>
        <w:jc w:val="both"/>
        <w:rPr>
          <w:rFonts w:ascii="Work Sans" w:hAnsi="Work Sans" w:cs="Arial" w:eastAsiaTheme="minorEastAsia"/>
        </w:rPr>
      </w:pPr>
    </w:p>
    <w:p w:rsidRPr="00604D9F" w:rsidR="00EC529A" w:rsidP="001B547B" w:rsidRDefault="00EC529A" w14:paraId="276A5205" w14:textId="7F8D3AE3">
      <w:pPr>
        <w:jc w:val="both"/>
        <w:rPr>
          <w:rFonts w:ascii="Work Sans" w:hAnsi="Work Sans" w:cs="Arial" w:eastAsiaTheme="minorEastAsia"/>
          <w:lang w:val="es-ES"/>
        </w:rPr>
      </w:pPr>
      <w:r w:rsidRPr="00E1010D">
        <w:rPr>
          <w:rFonts w:ascii="Work Sans" w:hAnsi="Work Sans" w:cs="Arial" w:eastAsiaTheme="minorEastAsia"/>
          <w:lang w:val="es-ES"/>
        </w:rPr>
        <w:t>De esta manera, se define que el indicador considera los proyectos de generación de energía eléctrica que se encuentren en estado de operación comercial y de pruebas, con un universo que contempla los proyectos de generación centralizada y se fortalece incorporando aquellos proyectos desarrollados por actores privados bajo esquemas de Autogeneración (AG) y Generación Distribuida (GD), así como las iniciativas financiadas con recursos públicos provenientes de programas como</w:t>
      </w:r>
      <w:r w:rsidR="00604D9F">
        <w:rPr>
          <w:rFonts w:ascii="Work Sans" w:hAnsi="Work Sans" w:cs="Arial" w:eastAsiaTheme="minorEastAsia"/>
          <w:lang w:val="es-ES"/>
        </w:rPr>
        <w:t xml:space="preserve"> el FAZNI, IPSE, SGR, FENOGE y </w:t>
      </w:r>
      <w:r w:rsidRPr="00E1010D">
        <w:rPr>
          <w:rFonts w:ascii="Work Sans" w:hAnsi="Work Sans" w:cs="Arial" w:eastAsiaTheme="minorEastAsia"/>
          <w:lang w:val="es-ES"/>
        </w:rPr>
        <w:t>Obras por Impuestos. Además, se incluirán proyectos impulsados por Comunidades Energéticas y Colombia Solar, iniciativas que responden al enfoque de Transición Energética Justa (TEJ) y descentralizada, y que representan un aporte significativo en términos de equidad y acceso.</w:t>
      </w:r>
    </w:p>
    <w:p w:rsidRPr="00E1010D" w:rsidR="00EC529A" w:rsidP="001B547B" w:rsidRDefault="00EC529A" w14:paraId="34D9428A" w14:textId="77777777">
      <w:pPr>
        <w:jc w:val="both"/>
        <w:rPr>
          <w:rFonts w:ascii="Work Sans" w:hAnsi="Work Sans" w:cs="Arial" w:eastAsiaTheme="minorEastAsia"/>
          <w:lang w:eastAsia="es-MX"/>
        </w:rPr>
      </w:pPr>
    </w:p>
    <w:p w:rsidRPr="00E1010D" w:rsidR="00EC529A" w:rsidP="00400EB1" w:rsidRDefault="00EC529A" w14:paraId="0DDA6EDE" w14:textId="77777777">
      <w:pPr>
        <w:pStyle w:val="Heading4"/>
        <w:numPr>
          <w:ilvl w:val="6"/>
          <w:numId w:val="9"/>
        </w:numPr>
        <w:tabs>
          <w:tab w:val="num" w:pos="360"/>
        </w:tabs>
        <w:spacing w:before="0" w:after="0"/>
        <w:jc w:val="both"/>
        <w:rPr>
          <w:rFonts w:ascii="Work Sans" w:hAnsi="Work Sans" w:cs="Arial"/>
        </w:rPr>
      </w:pPr>
      <w:bookmarkStart w:name="_Toc223695483" w:id="2"/>
      <w:r w:rsidRPr="00E1010D">
        <w:rPr>
          <w:rFonts w:ascii="Work Sans" w:hAnsi="Work Sans" w:cs="Arial"/>
        </w:rPr>
        <w:t>Avance del indicador</w:t>
      </w:r>
      <w:bookmarkEnd w:id="2"/>
    </w:p>
    <w:p w:rsidRPr="00E1010D" w:rsidR="00EC529A" w:rsidP="001B547B" w:rsidRDefault="00EC529A" w14:paraId="0FDC001C" w14:textId="77777777">
      <w:pPr>
        <w:jc w:val="both"/>
        <w:rPr>
          <w:rFonts w:ascii="Work Sans" w:hAnsi="Work Sans" w:eastAsia="Work Sans" w:cs="Arial"/>
        </w:rPr>
      </w:pPr>
    </w:p>
    <w:p w:rsidRPr="00B4299A" w:rsidR="00EC529A" w:rsidP="00B4299A" w:rsidRDefault="00EC529A" w14:paraId="05FCF443" w14:textId="5E9C4375">
      <w:pPr>
        <w:jc w:val="both"/>
        <w:rPr>
          <w:rFonts w:ascii="Work Sans" w:hAnsi="Work Sans" w:eastAsia="Work Sans" w:cs="Arial"/>
        </w:rPr>
      </w:pPr>
      <w:r w:rsidRPr="00E1010D">
        <w:rPr>
          <w:rFonts w:ascii="Work Sans" w:hAnsi="Work Sans" w:eastAsia="Work Sans" w:cs="Arial"/>
        </w:rPr>
        <w:t xml:space="preserve">A 31 de </w:t>
      </w:r>
      <w:r w:rsidRPr="5C1B5E4D" w:rsidR="3B3B123D">
        <w:rPr>
          <w:rFonts w:ascii="Work Sans" w:hAnsi="Work Sans" w:eastAsia="Work Sans" w:cs="Arial"/>
        </w:rPr>
        <w:t>mayo</w:t>
      </w:r>
      <w:r w:rsidRPr="00E1010D">
        <w:rPr>
          <w:rFonts w:ascii="Work Sans" w:hAnsi="Work Sans" w:eastAsia="Work Sans" w:cs="Arial"/>
        </w:rPr>
        <w:t xml:space="preserve"> de 2026, la gestión del sector eléctrico de Colombia evidencia avances en el fortalecimiento del sistema energético, especialmente en la incorporación de generación con Fuentes No Convencionales de Energía Renovable, el seguimiento a proyectos y la articulación con actores del sector. Estos resultados reflejan progresos en el cumplimiento de las metas de </w:t>
      </w:r>
      <w:r w:rsidRPr="00B4299A">
        <w:rPr>
          <w:rFonts w:ascii="Work Sans" w:hAnsi="Work Sans" w:eastAsia="Work Sans" w:cs="Arial"/>
        </w:rPr>
        <w:t>transición energética, confiabilidad del servicio y sostenibilidad del sistema eléctrico nacional.</w:t>
      </w:r>
    </w:p>
    <w:p w:rsidRPr="00B4299A" w:rsidR="00623C49" w:rsidP="00B4299A" w:rsidRDefault="00623C49" w14:paraId="13B84ED3" w14:textId="77777777">
      <w:pPr>
        <w:jc w:val="both"/>
        <w:rPr>
          <w:rFonts w:ascii="Work Sans" w:hAnsi="Work Sans" w:eastAsia="Work Sans" w:cs="Arial"/>
        </w:rPr>
      </w:pPr>
    </w:p>
    <w:p w:rsidRPr="00B4299A" w:rsidR="00623C49" w:rsidP="00B4299A" w:rsidRDefault="00623C49" w14:paraId="1C57D005" w14:textId="102BDEDF">
      <w:pPr>
        <w:pStyle w:val="p1"/>
        <w:spacing w:before="0" w:beforeAutospacing="0" w:after="0" w:afterAutospacing="0"/>
        <w:rPr>
          <w:rFonts w:ascii="Work Sans" w:hAnsi="Work Sans" w:eastAsia="Work Sans" w:cs="Arial"/>
          <w:lang w:eastAsia="es-CO"/>
        </w:rPr>
      </w:pPr>
      <w:r w:rsidRPr="00B4299A">
        <w:rPr>
          <w:rFonts w:ascii="Work Sans" w:hAnsi="Work Sans" w:eastAsia="Work Sans" w:cs="Arial"/>
          <w:lang w:eastAsia="es-CO"/>
        </w:rPr>
        <w:t>El país registra 4.416,57 MW, de capacidad FNCER en operación y pruebas, distribuidos así:</w:t>
      </w:r>
    </w:p>
    <w:p w:rsidRPr="00B4299A" w:rsidR="00623C49" w:rsidP="00B4299A" w:rsidRDefault="00623C49" w14:paraId="08DFD5C7" w14:textId="77777777">
      <w:pPr>
        <w:pStyle w:val="p1"/>
        <w:spacing w:before="0" w:beforeAutospacing="0" w:after="0" w:afterAutospacing="0"/>
        <w:rPr>
          <w:rFonts w:ascii="Work Sans" w:hAnsi="Work Sans" w:eastAsia="Work Sans" w:cs="Arial"/>
          <w:lang w:eastAsia="es-CO"/>
        </w:rPr>
      </w:pPr>
    </w:p>
    <w:tbl>
      <w:tblPr>
        <w:tblW w:w="3835" w:type="pct"/>
        <w:jc w:val="center"/>
        <w:tblBorders>
          <w:top w:val="single" w:color="auto" w:sz="6" w:space="0"/>
          <w:left w:val="single" w:color="auto" w:sz="6" w:space="0"/>
          <w:bottom w:val="single" w:color="auto" w:sz="6" w:space="0"/>
          <w:right w:val="single" w:color="auto" w:sz="6" w:space="0"/>
        </w:tblBorders>
        <w:tblCellMar>
          <w:top w:w="160" w:type="dxa"/>
          <w:left w:w="160" w:type="dxa"/>
          <w:bottom w:w="160" w:type="dxa"/>
          <w:right w:w="160" w:type="dxa"/>
        </w:tblCellMar>
        <w:tblLook w:val="04A0" w:firstRow="1" w:lastRow="0" w:firstColumn="1" w:lastColumn="0" w:noHBand="0" w:noVBand="1"/>
      </w:tblPr>
      <w:tblGrid>
        <w:gridCol w:w="4462"/>
        <w:gridCol w:w="2304"/>
      </w:tblGrid>
      <w:tr w:rsidRPr="00B4299A" w:rsidR="003D74B7" w:rsidTr="00B4299A" w14:paraId="05C3435B" w14:textId="77777777">
        <w:trPr>
          <w:tblHeader/>
          <w:jc w:val="center"/>
        </w:trPr>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B4299A" w:rsidR="003D74B7" w:rsidP="00B4299A" w:rsidRDefault="003D74B7" w14:paraId="58651EC6" w14:textId="77777777">
            <w:pPr>
              <w:pStyle w:val="p1"/>
              <w:spacing w:before="0" w:beforeAutospacing="0" w:after="0" w:afterAutospacing="0"/>
              <w:jc w:val="center"/>
              <w:rPr>
                <w:rFonts w:ascii="Work Sans" w:hAnsi="Work Sans"/>
                <w:b/>
                <w:bCs/>
                <w:sz w:val="20"/>
                <w:szCs w:val="20"/>
              </w:rPr>
            </w:pPr>
            <w:r w:rsidRPr="00B4299A">
              <w:rPr>
                <w:rFonts w:ascii="Work Sans" w:hAnsi="Work Sans"/>
                <w:b/>
                <w:bCs/>
                <w:sz w:val="20"/>
                <w:szCs w:val="20"/>
              </w:rPr>
              <w:t>Indicador</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B4299A" w:rsidR="003D74B7" w:rsidP="00B4299A" w:rsidRDefault="003D74B7" w14:paraId="3BF05EB4" w14:textId="77777777">
            <w:pPr>
              <w:pStyle w:val="p1"/>
              <w:spacing w:before="0" w:beforeAutospacing="0" w:after="0" w:afterAutospacing="0"/>
              <w:jc w:val="center"/>
              <w:rPr>
                <w:rFonts w:ascii="Work Sans" w:hAnsi="Work Sans"/>
                <w:b/>
                <w:bCs/>
                <w:sz w:val="20"/>
                <w:szCs w:val="20"/>
              </w:rPr>
            </w:pPr>
            <w:r w:rsidRPr="00B4299A">
              <w:rPr>
                <w:rFonts w:ascii="Work Sans" w:hAnsi="Work Sans"/>
                <w:b/>
                <w:bCs/>
                <w:sz w:val="20"/>
                <w:szCs w:val="20"/>
              </w:rPr>
              <w:t>Avance mayo 2026</w:t>
            </w:r>
          </w:p>
        </w:tc>
      </w:tr>
      <w:tr w:rsidRPr="00B4299A" w:rsidR="003D74B7" w:rsidTr="00B4299A" w14:paraId="105F2287" w14:textId="77777777">
        <w:trPr>
          <w:jc w:val="center"/>
        </w:trPr>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B4299A" w:rsidR="003D74B7" w:rsidP="00B4299A" w:rsidRDefault="003D74B7" w14:paraId="2EFBAAB0" w14:textId="77777777">
            <w:pPr>
              <w:pStyle w:val="p1"/>
              <w:spacing w:before="0" w:beforeAutospacing="0" w:after="0" w:afterAutospacing="0"/>
              <w:rPr>
                <w:rFonts w:ascii="Work Sans" w:hAnsi="Work Sans"/>
                <w:sz w:val="20"/>
                <w:szCs w:val="20"/>
              </w:rPr>
            </w:pPr>
            <w:r w:rsidRPr="00B4299A">
              <w:rPr>
                <w:rFonts w:ascii="Work Sans" w:hAnsi="Work Sans"/>
                <w:sz w:val="20"/>
                <w:szCs w:val="20"/>
              </w:rPr>
              <w:t>Capacidad FNCER en operación y pruebas</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B4299A" w:rsidR="003D74B7" w:rsidP="00B4299A" w:rsidRDefault="003D74B7" w14:paraId="50513A98" w14:textId="77777777">
            <w:pPr>
              <w:pStyle w:val="p1"/>
              <w:spacing w:before="0" w:beforeAutospacing="0" w:after="0" w:afterAutospacing="0"/>
              <w:rPr>
                <w:rFonts w:ascii="Work Sans" w:hAnsi="Work Sans"/>
                <w:sz w:val="20"/>
                <w:szCs w:val="20"/>
              </w:rPr>
            </w:pPr>
            <w:r w:rsidRPr="00B4299A">
              <w:rPr>
                <w:rFonts w:ascii="Work Sans" w:hAnsi="Work Sans"/>
                <w:sz w:val="20"/>
                <w:szCs w:val="20"/>
              </w:rPr>
              <w:t>4.416,57 MW</w:t>
            </w:r>
          </w:p>
        </w:tc>
      </w:tr>
      <w:tr w:rsidRPr="00B4299A" w:rsidR="003D74B7" w:rsidTr="00B4299A" w14:paraId="580E0E94" w14:textId="77777777">
        <w:trPr>
          <w:jc w:val="center"/>
        </w:trPr>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B4299A" w:rsidR="003D74B7" w:rsidP="00B4299A" w:rsidRDefault="003D74B7" w14:paraId="2CBC4A65" w14:textId="77777777">
            <w:pPr>
              <w:pStyle w:val="p1"/>
              <w:spacing w:before="0" w:beforeAutospacing="0" w:after="0" w:afterAutospacing="0"/>
              <w:rPr>
                <w:rFonts w:ascii="Work Sans" w:hAnsi="Work Sans"/>
                <w:sz w:val="20"/>
                <w:szCs w:val="20"/>
              </w:rPr>
            </w:pPr>
            <w:r w:rsidRPr="00B4299A">
              <w:rPr>
                <w:rFonts w:ascii="Work Sans" w:hAnsi="Work Sans"/>
                <w:sz w:val="20"/>
                <w:szCs w:val="20"/>
              </w:rPr>
              <w:t>Capacidad FNCER en pruebas</w:t>
            </w:r>
          </w:p>
        </w:tc>
        <w:tc>
          <w:tcPr>
            <w:tcW w:w="0" w:type="auto"/>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B4299A" w:rsidR="003D74B7" w:rsidP="00B4299A" w:rsidRDefault="003D74B7" w14:paraId="704F0590" w14:textId="77777777">
            <w:pPr>
              <w:pStyle w:val="p1"/>
              <w:spacing w:before="0" w:beforeAutospacing="0" w:after="0" w:afterAutospacing="0"/>
              <w:rPr>
                <w:rFonts w:ascii="Work Sans" w:hAnsi="Work Sans"/>
                <w:sz w:val="20"/>
                <w:szCs w:val="20"/>
              </w:rPr>
            </w:pPr>
            <w:r w:rsidRPr="00B4299A">
              <w:rPr>
                <w:rFonts w:ascii="Work Sans" w:hAnsi="Work Sans"/>
                <w:sz w:val="20"/>
                <w:szCs w:val="20"/>
              </w:rPr>
              <w:t>1.511,45 MW</w:t>
            </w:r>
          </w:p>
        </w:tc>
      </w:tr>
    </w:tbl>
    <w:p w:rsidRPr="00B4299A" w:rsidR="00B4299A" w:rsidP="00B4299A" w:rsidRDefault="00B4299A" w14:paraId="1EC711DF" w14:textId="77777777">
      <w:pPr>
        <w:pStyle w:val="paragraph"/>
        <w:spacing w:before="0" w:beforeAutospacing="0" w:after="0" w:afterAutospacing="0"/>
        <w:jc w:val="center"/>
        <w:textAlignment w:val="baseline"/>
        <w:rPr>
          <w:rFonts w:ascii="Work Sans" w:hAnsi="Work Sans" w:cs="Arial"/>
          <w:i/>
          <w:sz w:val="18"/>
          <w:szCs w:val="18"/>
          <w:lang w:val="es-ES"/>
        </w:rPr>
      </w:pPr>
      <w:r w:rsidRPr="00B4299A">
        <w:rPr>
          <w:rFonts w:ascii="Work Sans" w:hAnsi="Work Sans" w:cs="Arial"/>
          <w:bCs/>
          <w:i/>
          <w:iCs/>
          <w:sz w:val="18"/>
          <w:szCs w:val="18"/>
          <w:lang w:val="es-ES"/>
        </w:rPr>
        <w:t>Fuente: Elaboración propia con datos de UPME, XM, IPSE</w:t>
      </w:r>
    </w:p>
    <w:p w:rsidRPr="00B4299A" w:rsidR="00623C49" w:rsidP="00B4299A" w:rsidRDefault="00623C49" w14:paraId="4DAB6B46" w14:textId="77777777">
      <w:pPr>
        <w:jc w:val="both"/>
        <w:rPr>
          <w:rFonts w:ascii="Work Sans" w:hAnsi="Work Sans" w:eastAsia="Work Sans" w:cs="Arial"/>
        </w:rPr>
      </w:pPr>
    </w:p>
    <w:p w:rsidR="006A7D4C" w:rsidP="00B4299A" w:rsidRDefault="00B4299A" w14:paraId="32D10AE5" w14:textId="61F4D9CA">
      <w:pPr>
        <w:pStyle w:val="p1"/>
        <w:spacing w:before="0" w:beforeAutospacing="0" w:after="0" w:afterAutospacing="0"/>
        <w:jc w:val="both"/>
        <w:rPr>
          <w:rFonts w:ascii="Work Sans" w:hAnsi="Work Sans"/>
        </w:rPr>
      </w:pPr>
      <w:r w:rsidRPr="00B4299A">
        <w:rPr>
          <w:rFonts w:ascii="Work Sans" w:hAnsi="Work Sans"/>
        </w:rPr>
        <w:t>La capacidad acumulada incluye proyectos en operación comercial, proyectos en pruebas y proyectos desarrollados en Zonas No Interconectadas (ZNI), independientemente de la fecha de entrada en operación</w:t>
      </w:r>
      <w:r>
        <w:rPr>
          <w:rFonts w:ascii="Work Sans" w:hAnsi="Work Sans"/>
        </w:rPr>
        <w:t>.</w:t>
      </w:r>
    </w:p>
    <w:p w:rsidR="0017438F" w:rsidP="00B4299A" w:rsidRDefault="0017438F" w14:paraId="3FB2E98A" w14:textId="77777777">
      <w:pPr>
        <w:pStyle w:val="p1"/>
        <w:spacing w:before="0" w:beforeAutospacing="0" w:after="0" w:afterAutospacing="0"/>
        <w:jc w:val="both"/>
        <w:rPr>
          <w:rFonts w:ascii="Work Sans" w:hAnsi="Work Sans" w:eastAsia="Work Sans" w:cs="Arial"/>
        </w:rPr>
      </w:pPr>
    </w:p>
    <w:p w:rsidRPr="00E1010D" w:rsidR="00EC529A" w:rsidP="00400EB1" w:rsidRDefault="00EC529A" w14:paraId="347A2509" w14:textId="77777777">
      <w:pPr>
        <w:pStyle w:val="Heading4"/>
        <w:numPr>
          <w:ilvl w:val="6"/>
          <w:numId w:val="9"/>
        </w:numPr>
        <w:tabs>
          <w:tab w:val="num" w:pos="360"/>
        </w:tabs>
        <w:spacing w:before="0" w:after="0"/>
        <w:jc w:val="both"/>
        <w:rPr>
          <w:rFonts w:ascii="Work Sans" w:hAnsi="Work Sans" w:cs="Arial"/>
        </w:rPr>
      </w:pPr>
      <w:bookmarkStart w:name="_Toc223695486" w:id="3"/>
      <w:r w:rsidRPr="00E1010D">
        <w:rPr>
          <w:rFonts w:ascii="Work Sans" w:hAnsi="Work Sans" w:cs="Arial"/>
        </w:rPr>
        <w:t>Matriz de Generación</w:t>
      </w:r>
      <w:bookmarkEnd w:id="3"/>
    </w:p>
    <w:p w:rsidRPr="00E1010D" w:rsidR="00EC529A" w:rsidP="001B547B" w:rsidRDefault="00EC529A" w14:paraId="4CEBA887" w14:textId="77777777">
      <w:pPr>
        <w:jc w:val="both"/>
        <w:rPr>
          <w:rFonts w:ascii="Work Sans" w:hAnsi="Work Sans" w:cs="Arial" w:eastAsiaTheme="minorEastAsia"/>
        </w:rPr>
      </w:pPr>
    </w:p>
    <w:p w:rsidRPr="00E1010D" w:rsidR="00EC529A" w:rsidP="001B547B" w:rsidRDefault="00EC529A" w14:paraId="07AD3038" w14:textId="794EEEF1">
      <w:pPr>
        <w:jc w:val="both"/>
        <w:rPr>
          <w:rFonts w:ascii="Work Sans" w:hAnsi="Work Sans" w:cs="Arial" w:eastAsiaTheme="minorEastAsia"/>
        </w:rPr>
      </w:pPr>
      <w:r w:rsidRPr="00E1010D">
        <w:rPr>
          <w:rFonts w:ascii="Work Sans" w:hAnsi="Work Sans" w:cs="Arial" w:eastAsiaTheme="minorEastAsia"/>
        </w:rPr>
        <w:t>El avance en el indicador además muestra un claro impacto en la matriz de generación eléctrica nacional. La capacidad de energías limpias (</w:t>
      </w:r>
      <w:r w:rsidR="00E96867">
        <w:rPr>
          <w:rFonts w:ascii="Work Sans" w:hAnsi="Work Sans" w:cs="Arial" w:eastAsiaTheme="minorEastAsia"/>
        </w:rPr>
        <w:t>solar y eólica)</w:t>
      </w:r>
      <w:r w:rsidRPr="00E1010D">
        <w:rPr>
          <w:rFonts w:ascii="Work Sans" w:hAnsi="Work Sans" w:cs="Arial" w:eastAsiaTheme="minorEastAsia"/>
        </w:rPr>
        <w:t xml:space="preserve"> </w:t>
      </w:r>
      <w:r w:rsidR="00E96867">
        <w:rPr>
          <w:rFonts w:ascii="Work Sans" w:hAnsi="Work Sans" w:cs="Arial" w:eastAsiaTheme="minorEastAsia"/>
        </w:rPr>
        <w:t xml:space="preserve">en </w:t>
      </w:r>
      <w:r w:rsidRPr="00E1010D">
        <w:rPr>
          <w:rFonts w:ascii="Work Sans" w:hAnsi="Work Sans" w:cs="Arial" w:eastAsiaTheme="minorEastAsia"/>
        </w:rPr>
        <w:t>operación y pruebas alcanzó 4</w:t>
      </w:r>
      <w:r w:rsidRPr="00720141" w:rsidR="00720141">
        <w:rPr>
          <w:rFonts w:ascii="Work Sans" w:hAnsi="Work Sans" w:cs="Arial" w:eastAsiaTheme="minorEastAsia"/>
        </w:rPr>
        <w:t>,</w:t>
      </w:r>
      <w:r w:rsidR="00E0701D">
        <w:rPr>
          <w:rFonts w:ascii="Work Sans" w:hAnsi="Work Sans" w:cs="Arial" w:eastAsiaTheme="minorEastAsia"/>
        </w:rPr>
        <w:t>416,</w:t>
      </w:r>
      <w:r w:rsidR="002E77A9">
        <w:rPr>
          <w:rFonts w:ascii="Work Sans" w:hAnsi="Work Sans" w:cs="Arial" w:eastAsiaTheme="minorEastAsia"/>
        </w:rPr>
        <w:t>57</w:t>
      </w:r>
      <w:r w:rsidRPr="00E1010D">
        <w:rPr>
          <w:rFonts w:ascii="Work Sans" w:hAnsi="Work Sans" w:cs="Arial" w:eastAsiaTheme="minorEastAsia"/>
        </w:rPr>
        <w:t xml:space="preserve"> MW, lo que representa el 1</w:t>
      </w:r>
      <w:r w:rsidR="00D53391">
        <w:rPr>
          <w:rFonts w:ascii="Work Sans" w:hAnsi="Work Sans" w:cs="Arial" w:eastAsiaTheme="minorEastAsia"/>
        </w:rPr>
        <w:t>8,25</w:t>
      </w:r>
      <w:r w:rsidRPr="00E1010D">
        <w:rPr>
          <w:rFonts w:ascii="Work Sans" w:hAnsi="Work Sans" w:cs="Arial" w:eastAsiaTheme="minorEastAsia"/>
        </w:rPr>
        <w:t>% de la matriz eléctrica nacional (ver Figura 3).</w:t>
      </w:r>
    </w:p>
    <w:p w:rsidR="00EC529A" w:rsidP="001B547B" w:rsidRDefault="00EC529A" w14:paraId="1A1F7A69" w14:textId="77777777">
      <w:pPr>
        <w:jc w:val="both"/>
        <w:rPr>
          <w:rFonts w:ascii="Work Sans" w:hAnsi="Work Sans" w:eastAsia="Work Sans" w:cs="Arial"/>
          <w:color w:val="000000" w:themeColor="text1"/>
        </w:rPr>
      </w:pPr>
    </w:p>
    <w:p w:rsidRPr="0042587E" w:rsidR="0042587E" w:rsidP="001B547B" w:rsidRDefault="001125AE" w14:paraId="5D3802E0" w14:textId="604B4AC7">
      <w:pPr>
        <w:pStyle w:val="Caption"/>
        <w:spacing w:after="0"/>
        <w:jc w:val="center"/>
        <w:rPr>
          <w:rFonts w:ascii="Work Sans" w:hAnsi="Work Sans" w:eastAsia="Aptos" w:cs="Arial"/>
          <w:color w:val="39302A"/>
        </w:rPr>
      </w:pPr>
      <w:r>
        <w:rPr>
          <w:rFonts w:ascii="Work Sans" w:hAnsi="Work Sans" w:eastAsia="Aptos" w:cs="Arial"/>
          <w:color w:val="39302A"/>
          <w:lang w:val="es-ES"/>
        </w:rPr>
        <w:t>Ilustración</w:t>
      </w:r>
      <w:r w:rsidRPr="0042587E" w:rsidR="0042587E">
        <w:rPr>
          <w:rFonts w:ascii="Work Sans" w:hAnsi="Work Sans" w:eastAsia="Aptos" w:cs="Arial"/>
          <w:color w:val="39302A"/>
          <w:lang w:val="es-ES"/>
        </w:rPr>
        <w:t xml:space="preserve"> </w:t>
      </w:r>
      <w:r w:rsidR="0042587E">
        <w:rPr>
          <w:rFonts w:ascii="Work Sans" w:hAnsi="Work Sans" w:eastAsia="Aptos" w:cs="Arial"/>
          <w:color w:val="000000" w:themeColor="text1"/>
          <w:lang w:val="es-ES"/>
        </w:rPr>
        <w:t>1</w:t>
      </w:r>
      <w:r w:rsidRPr="0042587E" w:rsidR="0042587E">
        <w:rPr>
          <w:rFonts w:ascii="Work Sans" w:hAnsi="Work Sans" w:eastAsia="Aptos" w:cs="Arial"/>
          <w:color w:val="39302A"/>
          <w:lang w:val="es-ES"/>
        </w:rPr>
        <w:t xml:space="preserve">: Matriz de generación eléctrica en Colombia, con corte a </w:t>
      </w:r>
      <w:r w:rsidR="00720141">
        <w:rPr>
          <w:rFonts w:ascii="Work Sans" w:hAnsi="Work Sans" w:eastAsia="Aptos" w:cs="Arial"/>
          <w:color w:val="39302A"/>
          <w:lang w:val="es-ES"/>
        </w:rPr>
        <w:t>mayo</w:t>
      </w:r>
      <w:r w:rsidRPr="0042587E" w:rsidR="0042587E">
        <w:rPr>
          <w:rFonts w:ascii="Work Sans" w:hAnsi="Work Sans" w:eastAsia="Aptos" w:cs="Arial"/>
          <w:color w:val="39302A"/>
          <w:lang w:val="es-ES"/>
        </w:rPr>
        <w:t xml:space="preserve"> 2026.</w:t>
      </w:r>
    </w:p>
    <w:p w:rsidRPr="00E1010D" w:rsidR="00EC529A" w:rsidP="001B547B" w:rsidRDefault="00334BDA" w14:paraId="44A7CC1C" w14:textId="17FE3440">
      <w:pPr>
        <w:keepNext/>
        <w:jc w:val="center"/>
        <w:rPr>
          <w:rFonts w:ascii="Work Sans" w:hAnsi="Work Sans" w:eastAsia="Times" w:cs="Arial"/>
          <w:color w:val="000000" w:themeColor="text1"/>
        </w:rPr>
      </w:pPr>
      <w:r w:rsidRPr="00334BDA">
        <w:rPr>
          <w:rFonts w:ascii="Work Sans" w:hAnsi="Work Sans" w:eastAsia="Times" w:cs="Arial"/>
          <w:noProof/>
          <w:color w:val="000000" w:themeColor="text1"/>
        </w:rPr>
        <w:drawing>
          <wp:inline distT="0" distB="0" distL="0" distR="0" wp14:anchorId="0E272D75" wp14:editId="458E2377">
            <wp:extent cx="2945081" cy="3140998"/>
            <wp:effectExtent l="0" t="0" r="8255" b="254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49220" cy="3145412"/>
                    </a:xfrm>
                    <a:prstGeom prst="rect">
                      <a:avLst/>
                    </a:prstGeom>
                  </pic:spPr>
                </pic:pic>
              </a:graphicData>
            </a:graphic>
          </wp:inline>
        </w:drawing>
      </w:r>
    </w:p>
    <w:p w:rsidR="00EC529A" w:rsidP="001B547B" w:rsidRDefault="00EC529A" w14:paraId="76A0DE67" w14:textId="09C63645">
      <w:pPr>
        <w:pStyle w:val="Caption"/>
        <w:spacing w:after="0"/>
        <w:jc w:val="center"/>
        <w:rPr>
          <w:rFonts w:ascii="Work Sans" w:hAnsi="Work Sans" w:eastAsia="Aptos" w:cs="Arial"/>
          <w:color w:val="39302A"/>
          <w:lang w:val="es-ES"/>
        </w:rPr>
      </w:pPr>
      <w:r w:rsidRPr="0042587E">
        <w:rPr>
          <w:rFonts w:ascii="Work Sans" w:hAnsi="Work Sans" w:eastAsia="Aptos" w:cs="Arial"/>
          <w:color w:val="39302A"/>
          <w:lang w:val="es-ES"/>
        </w:rPr>
        <w:t xml:space="preserve">Fuente: </w:t>
      </w:r>
      <w:r w:rsidR="00EA1DDE">
        <w:rPr>
          <w:rFonts w:ascii="Work Sans" w:hAnsi="Work Sans" w:eastAsia="Aptos" w:cs="Arial"/>
          <w:color w:val="39302A"/>
          <w:lang w:val="es-ES"/>
        </w:rPr>
        <w:t>Elaboración Propia</w:t>
      </w:r>
    </w:p>
    <w:p w:rsidR="0042587E" w:rsidP="001B547B" w:rsidRDefault="0042587E" w14:paraId="1B93072F" w14:textId="77777777">
      <w:pPr>
        <w:rPr>
          <w:lang w:val="es-ES"/>
        </w:rPr>
      </w:pPr>
    </w:p>
    <w:p w:rsidRPr="00720141" w:rsidR="00D31092" w:rsidP="00720141" w:rsidRDefault="002A290B" w14:paraId="049FD1FD" w14:textId="341AF297">
      <w:pPr>
        <w:jc w:val="both"/>
        <w:rPr>
          <w:rFonts w:ascii="Work Sans" w:hAnsi="Work Sans" w:cs="Arial" w:eastAsiaTheme="minorEastAsia"/>
          <w:i/>
          <w:iCs/>
        </w:rPr>
      </w:pPr>
      <w:r>
        <w:rPr>
          <w:rFonts w:ascii="Work Sans" w:hAnsi="Work Sans" w:cs="Arial" w:eastAsiaTheme="minorEastAsia"/>
          <w:b/>
          <w:bCs/>
          <w:i/>
          <w:iCs/>
        </w:rPr>
        <w:t>*</w:t>
      </w:r>
      <w:r w:rsidRPr="00720141" w:rsidR="00D31092">
        <w:rPr>
          <w:rFonts w:ascii="Work Sans" w:hAnsi="Work Sans" w:cs="Arial" w:eastAsiaTheme="minorEastAsia"/>
          <w:b/>
          <w:bCs/>
          <w:i/>
          <w:iCs/>
        </w:rPr>
        <w:t>Nota:</w:t>
      </w:r>
      <w:r w:rsidRPr="00720141" w:rsidR="00D31092">
        <w:rPr>
          <w:rFonts w:ascii="Work Sans" w:hAnsi="Work Sans" w:cs="Arial" w:eastAsiaTheme="minorEastAsia"/>
          <w:i/>
          <w:iCs/>
        </w:rPr>
        <w:t xml:space="preserve"> Para el </w:t>
      </w:r>
      <w:r w:rsidRPr="00720141" w:rsidR="0017438F">
        <w:rPr>
          <w:rFonts w:ascii="Work Sans" w:hAnsi="Work Sans" w:cs="Arial" w:eastAsiaTheme="minorEastAsia"/>
          <w:i/>
          <w:iCs/>
        </w:rPr>
        <w:t>cálculo</w:t>
      </w:r>
      <w:r w:rsidRPr="00720141" w:rsidR="00D31092">
        <w:rPr>
          <w:rFonts w:ascii="Work Sans" w:hAnsi="Work Sans" w:cs="Arial" w:eastAsiaTheme="minorEastAsia"/>
          <w:i/>
          <w:iCs/>
        </w:rPr>
        <w:t xml:space="preserve"> de la matriz de generación únicamente se toman los datos de plantas que se ubican en el Sistema Interconectado Nacional.</w:t>
      </w:r>
    </w:p>
    <w:p w:rsidR="00D31092" w:rsidP="001B547B" w:rsidRDefault="00D31092" w14:paraId="0FF06E7B" w14:textId="77777777">
      <w:pPr>
        <w:rPr>
          <w:lang w:val="es-ES"/>
        </w:rPr>
      </w:pPr>
    </w:p>
    <w:p w:rsidRPr="0042587E" w:rsidR="0042587E" w:rsidP="001B547B" w:rsidRDefault="001125AE" w14:paraId="279573BD" w14:textId="452D4032">
      <w:pPr>
        <w:pStyle w:val="Caption"/>
        <w:spacing w:after="0"/>
        <w:jc w:val="center"/>
        <w:rPr>
          <w:rFonts w:ascii="Work Sans" w:hAnsi="Work Sans" w:eastAsia="Aptos" w:cs="Arial"/>
          <w:color w:val="39302A"/>
          <w:lang w:val="es-ES"/>
        </w:rPr>
      </w:pPr>
      <w:r>
        <w:rPr>
          <w:rFonts w:ascii="Work Sans" w:hAnsi="Work Sans" w:eastAsia="Aptos" w:cs="Arial"/>
          <w:color w:val="39302A"/>
          <w:lang w:val="es-ES"/>
        </w:rPr>
        <w:t>Ilustración</w:t>
      </w:r>
      <w:r w:rsidRPr="0042587E" w:rsidR="0042587E">
        <w:rPr>
          <w:rFonts w:ascii="Work Sans" w:hAnsi="Work Sans" w:eastAsia="Aptos" w:cs="Arial"/>
          <w:color w:val="39302A"/>
          <w:lang w:val="es-ES"/>
        </w:rPr>
        <w:t xml:space="preserve"> 2: Evolución de generación eléctrica en Colombia, con corte a enero 2026.</w:t>
      </w:r>
    </w:p>
    <w:p w:rsidRPr="00E1010D" w:rsidR="00EC529A" w:rsidP="001B547B" w:rsidRDefault="0078531B" w14:paraId="1481182C" w14:textId="49BF30DC">
      <w:pPr>
        <w:jc w:val="both"/>
        <w:rPr>
          <w:rFonts w:ascii="Work Sans" w:hAnsi="Work Sans" w:cs="Arial" w:eastAsiaTheme="minorEastAsia"/>
        </w:rPr>
      </w:pPr>
      <w:r w:rsidRPr="00E1010D">
        <w:rPr>
          <w:rFonts w:ascii="Work Sans" w:hAnsi="Work Sans" w:cs="Arial" w:eastAsiaTheme="minorEastAsia"/>
          <w:noProof/>
          <w14:ligatures w14:val="standardContextual"/>
        </w:rPr>
        <w:drawing>
          <wp:inline distT="0" distB="0" distL="0" distR="0" wp14:anchorId="46C251DF" wp14:editId="386632D1">
            <wp:extent cx="5612130" cy="3549650"/>
            <wp:effectExtent l="0" t="0" r="1270" b="6350"/>
            <wp:docPr id="2717349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734917" name="Imagen 271734917"/>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12130" cy="3549650"/>
                    </a:xfrm>
                    <a:prstGeom prst="rect">
                      <a:avLst/>
                    </a:prstGeom>
                  </pic:spPr>
                </pic:pic>
              </a:graphicData>
            </a:graphic>
          </wp:inline>
        </w:drawing>
      </w:r>
    </w:p>
    <w:p w:rsidRPr="0042587E" w:rsidR="00EC529A" w:rsidP="001B547B" w:rsidRDefault="00EC529A" w14:paraId="1E22D9DF" w14:textId="77777777">
      <w:pPr>
        <w:pStyle w:val="Caption"/>
        <w:spacing w:after="0"/>
        <w:jc w:val="center"/>
        <w:rPr>
          <w:rFonts w:ascii="Work Sans" w:hAnsi="Work Sans" w:eastAsia="Aptos" w:cs="Arial"/>
          <w:color w:val="39302A"/>
          <w:lang w:val="es-ES"/>
        </w:rPr>
      </w:pPr>
      <w:r w:rsidRPr="0042587E">
        <w:rPr>
          <w:rFonts w:ascii="Work Sans" w:hAnsi="Work Sans" w:eastAsia="Aptos" w:cs="Arial"/>
          <w:color w:val="39302A"/>
          <w:lang w:val="es-ES"/>
        </w:rPr>
        <w:t>Fuente: Centro de monitoreo UPME.</w:t>
      </w:r>
    </w:p>
    <w:p w:rsidRPr="00E1010D" w:rsidR="00EC529A" w:rsidP="001B547B" w:rsidRDefault="00EC529A" w14:paraId="3A0CF07E" w14:textId="77777777">
      <w:pPr>
        <w:jc w:val="both"/>
        <w:rPr>
          <w:rFonts w:ascii="Work Sans" w:hAnsi="Work Sans" w:eastAsia="Aptos" w:cs="Arial"/>
          <w:lang w:val="es-ES"/>
        </w:rPr>
      </w:pPr>
    </w:p>
    <w:p w:rsidRPr="00E1010D" w:rsidR="00EC529A" w:rsidP="00400EB1" w:rsidRDefault="004E3312" w14:paraId="1D72D942" w14:textId="7B1EAC03">
      <w:pPr>
        <w:pStyle w:val="Heading4"/>
        <w:numPr>
          <w:ilvl w:val="6"/>
          <w:numId w:val="9"/>
        </w:numPr>
        <w:tabs>
          <w:tab w:val="num" w:pos="360"/>
        </w:tabs>
        <w:spacing w:before="0" w:after="0"/>
        <w:jc w:val="both"/>
        <w:rPr>
          <w:rFonts w:ascii="Work Sans" w:hAnsi="Work Sans" w:cs="Arial"/>
        </w:rPr>
      </w:pPr>
      <w:r w:rsidRPr="00E1010D">
        <w:rPr>
          <w:rFonts w:ascii="Work Sans" w:hAnsi="Work Sans" w:cs="Arial"/>
        </w:rPr>
        <w:t>Logros y avances</w:t>
      </w:r>
    </w:p>
    <w:p w:rsidRPr="00E1010D" w:rsidR="00C45BEA" w:rsidP="001B547B" w:rsidRDefault="00C45BEA" w14:paraId="2E75A4C2" w14:textId="77777777">
      <w:pPr>
        <w:jc w:val="both"/>
        <w:rPr>
          <w:rFonts w:ascii="Work Sans" w:hAnsi="Work Sans" w:cs="Arial"/>
        </w:rPr>
      </w:pPr>
    </w:p>
    <w:p w:rsidRPr="00E1010D" w:rsidR="00C45BEA" w:rsidP="001B547B" w:rsidRDefault="00C45BEA" w14:paraId="723E6291" w14:textId="77777777">
      <w:pPr>
        <w:jc w:val="both"/>
        <w:rPr>
          <w:rFonts w:ascii="Work Sans" w:hAnsi="Work Sans" w:cs="Arial"/>
        </w:rPr>
      </w:pPr>
      <w:r w:rsidRPr="00E1010D">
        <w:rPr>
          <w:rFonts w:ascii="Work Sans" w:hAnsi="Work Sans" w:cs="Arial"/>
        </w:rPr>
        <w:t>La Estrategia 6GW+ se consolidó como el principal instrumento de articulación institucional para acelerar la incorporación de Fuentes No Convencionales de Energía Renovable (FNCER), superar barreras que limitaban la entrada en operación de proyectos de generación y transmisión, y fortalecer la seguridad energética del país. A través del Comité 6GW+ se promovió la coordinación entre entidades del sector y se impulsaron acciones regulatorias, técnicas, ambientales y operativas orientadas a destrabar proyectos estratégicos y acelerar la transición energética justa.</w:t>
      </w:r>
    </w:p>
    <w:p w:rsidRPr="00E1010D" w:rsidR="00C45BEA" w:rsidP="001B547B" w:rsidRDefault="00C45BEA" w14:paraId="5E584870" w14:textId="77777777">
      <w:pPr>
        <w:jc w:val="both"/>
        <w:rPr>
          <w:rFonts w:ascii="Work Sans" w:hAnsi="Work Sans" w:cs="Arial"/>
        </w:rPr>
      </w:pPr>
    </w:p>
    <w:p w:rsidRPr="00E1010D" w:rsidR="00C45BEA" w:rsidP="001B547B" w:rsidRDefault="00C45BEA" w14:paraId="7BDFE2F3" w14:textId="58AF659C">
      <w:pPr>
        <w:jc w:val="both"/>
        <w:rPr>
          <w:rFonts w:ascii="Work Sans" w:hAnsi="Work Sans" w:cs="Arial"/>
        </w:rPr>
      </w:pPr>
      <w:r w:rsidRPr="00E1010D">
        <w:rPr>
          <w:rFonts w:ascii="Work Sans" w:hAnsi="Work Sans" w:cs="Arial"/>
        </w:rPr>
        <w:t xml:space="preserve">Los resultados alcanzados evidencian avances significativos en el cumplimiento de las metas de diversificación de la matriz energética y fortalecimiento de la infraestructura eléctrica nacional. Mientras que en 2022 el país contaba con </w:t>
      </w:r>
      <w:r w:rsidR="007A0EBC">
        <w:rPr>
          <w:rFonts w:ascii="Work Sans" w:hAnsi="Work Sans" w:cs="Arial"/>
        </w:rPr>
        <w:t>menos de</w:t>
      </w:r>
      <w:r w:rsidRPr="00E1010D">
        <w:rPr>
          <w:rFonts w:ascii="Work Sans" w:hAnsi="Work Sans" w:cs="Arial"/>
        </w:rPr>
        <w:t xml:space="preserve"> </w:t>
      </w:r>
      <w:r w:rsidR="007A0EBC">
        <w:rPr>
          <w:rFonts w:ascii="Work Sans" w:hAnsi="Work Sans" w:cs="Arial"/>
        </w:rPr>
        <w:t>3</w:t>
      </w:r>
      <w:r w:rsidRPr="00E1010D">
        <w:rPr>
          <w:rFonts w:ascii="Work Sans" w:hAnsi="Work Sans" w:cs="Arial"/>
        </w:rPr>
        <w:t xml:space="preserve">00 MW de capacidad instalada de generación renovable, a </w:t>
      </w:r>
      <w:r w:rsidR="008C424F">
        <w:rPr>
          <w:rFonts w:ascii="Work Sans" w:hAnsi="Work Sans" w:cs="Arial"/>
        </w:rPr>
        <w:t>mayo</w:t>
      </w:r>
      <w:r w:rsidRPr="00E1010D">
        <w:rPr>
          <w:rFonts w:ascii="Work Sans" w:hAnsi="Work Sans" w:cs="Arial"/>
        </w:rPr>
        <w:t xml:space="preserve"> de 2026 se alcanzaron 4</w:t>
      </w:r>
      <w:r w:rsidRPr="00CE170C" w:rsidR="00CE170C">
        <w:rPr>
          <w:rFonts w:ascii="Work Sans" w:hAnsi="Work Sans" w:cs="Arial"/>
        </w:rPr>
        <w:t>,416.57</w:t>
      </w:r>
      <w:r w:rsidRPr="00E1010D">
        <w:rPr>
          <w:rFonts w:ascii="Work Sans" w:hAnsi="Work Sans" w:cs="Arial"/>
        </w:rPr>
        <w:t xml:space="preserve"> MW de capacidad instalada en operación comercial y pruebas</w:t>
      </w:r>
      <w:r w:rsidR="00CE170C">
        <w:rPr>
          <w:rFonts w:ascii="Work Sans" w:hAnsi="Work Sans" w:cs="Arial"/>
        </w:rPr>
        <w:t xml:space="preserve"> del SIN y ZNI</w:t>
      </w:r>
      <w:r w:rsidRPr="00E1010D">
        <w:rPr>
          <w:rFonts w:ascii="Work Sans" w:hAnsi="Work Sans" w:cs="Arial"/>
        </w:rPr>
        <w:t xml:space="preserve">, consolidando uno de los mayores crecimientos de energías renovables en la historia del sector eléctrico colombiano. Este avance representa un paso decisivo hacia la meta de incorporación de más de 6 GW de capacidad instalada con fuentes limpias, fortaleciendo la confiabilidad del sistema, reduciendo la dependencia de la hidrología y contribuyendo al cumplimiento de los compromisos climáticos del país. </w:t>
      </w:r>
    </w:p>
    <w:p w:rsidRPr="00E1010D" w:rsidR="00C45BEA" w:rsidP="001B547B" w:rsidRDefault="00C45BEA" w14:paraId="7A39AE28" w14:textId="77777777">
      <w:pPr>
        <w:jc w:val="both"/>
        <w:rPr>
          <w:rFonts w:ascii="Work Sans" w:hAnsi="Work Sans" w:cs="Arial"/>
        </w:rPr>
      </w:pPr>
    </w:p>
    <w:p w:rsidRPr="00E1010D" w:rsidR="00C45BEA" w:rsidP="001B547B" w:rsidRDefault="004C04CB" w14:paraId="11DB269D" w14:textId="520479F3">
      <w:pPr>
        <w:jc w:val="both"/>
        <w:rPr>
          <w:rFonts w:ascii="Work Sans" w:hAnsi="Work Sans" w:cs="Arial"/>
        </w:rPr>
      </w:pPr>
      <w:r>
        <w:rPr>
          <w:rFonts w:ascii="Work Sans" w:hAnsi="Work Sans" w:cs="Arial"/>
        </w:rPr>
        <w:t>L</w:t>
      </w:r>
      <w:r w:rsidRPr="00E1010D" w:rsidR="00C45BEA">
        <w:rPr>
          <w:rFonts w:ascii="Work Sans" w:hAnsi="Work Sans" w:cs="Arial"/>
        </w:rPr>
        <w:t>a estrategia impulsó acciones orientadas a fortalecer los procesos de licenciamiento ambiental para proyectos solares y eólicos, mediante la articulación con el Ministerio de Ambiente y la Autoridad Nacional de Licencias Ambientales (ANLA), promoviendo la simplificación de trámites y la reducción de tiempos para proyectos estratégicos de transición energética.</w:t>
      </w:r>
    </w:p>
    <w:p w:rsidRPr="00E1010D" w:rsidR="00C45BEA" w:rsidP="001B547B" w:rsidRDefault="00C45BEA" w14:paraId="1F650A50" w14:textId="77777777">
      <w:pPr>
        <w:jc w:val="both"/>
        <w:rPr>
          <w:rFonts w:ascii="Work Sans" w:hAnsi="Work Sans" w:cs="Arial"/>
        </w:rPr>
      </w:pPr>
    </w:p>
    <w:p w:rsidRPr="00E1010D" w:rsidR="004F59A0" w:rsidP="001E2E28" w:rsidRDefault="00C45BEA" w14:paraId="23453EA7" w14:textId="68EDBF67">
      <w:pPr>
        <w:jc w:val="both"/>
        <w:rPr>
          <w:rStyle w:val="eop"/>
          <w:rFonts w:ascii="Work Sans" w:hAnsi="Work Sans" w:cs="Arial"/>
        </w:rPr>
      </w:pPr>
      <w:r w:rsidRPr="00E1010D">
        <w:rPr>
          <w:rFonts w:ascii="Work Sans" w:hAnsi="Work Sans" w:cs="Arial"/>
        </w:rPr>
        <w:t>Los avances alcanzados en el marco de la Estrategia 6GW+ permitieron consolidar condiciones regulatorias, institucionales y operativas más favorables para el desarrollo de proyectos de energías renovables y de infraestructura eléctrica, fortaleciendo la capacidad del país para avanzar hacia una matriz energética más diversificada, resiliente y sostenible.</w:t>
      </w:r>
    </w:p>
    <w:p w:rsidRPr="00E1010D" w:rsidR="00EF4445" w:rsidP="001B547B" w:rsidRDefault="00EF4445" w14:paraId="2C6A128E" w14:textId="77777777">
      <w:pPr>
        <w:pStyle w:val="paragraph"/>
        <w:spacing w:before="0" w:beforeAutospacing="0" w:after="0" w:afterAutospacing="0"/>
        <w:jc w:val="both"/>
        <w:textAlignment w:val="baseline"/>
        <w:rPr>
          <w:rStyle w:val="eop"/>
          <w:rFonts w:ascii="Work Sans" w:hAnsi="Work Sans" w:cs="Arial"/>
        </w:rPr>
      </w:pPr>
    </w:p>
    <w:p w:rsidRPr="00E1010D" w:rsidR="00EC529A" w:rsidP="00400EB1" w:rsidRDefault="00EC529A" w14:paraId="425C52D6" w14:textId="231BAD1E">
      <w:pPr>
        <w:pStyle w:val="Heading4"/>
        <w:numPr>
          <w:ilvl w:val="5"/>
          <w:numId w:val="9"/>
        </w:numPr>
        <w:tabs>
          <w:tab w:val="num" w:pos="360"/>
        </w:tabs>
        <w:spacing w:before="0" w:after="0"/>
        <w:jc w:val="both"/>
        <w:rPr>
          <w:rFonts w:ascii="Work Sans" w:hAnsi="Work Sans" w:cs="Arial"/>
        </w:rPr>
      </w:pPr>
      <w:bookmarkStart w:name="_Toc223695494" w:id="4"/>
      <w:r w:rsidRPr="00E1010D">
        <w:rPr>
          <w:rFonts w:ascii="Work Sans" w:hAnsi="Work Sans" w:cs="Arial"/>
        </w:rPr>
        <w:t>Plan</w:t>
      </w:r>
      <w:r w:rsidR="00171D79">
        <w:rPr>
          <w:rFonts w:ascii="Work Sans" w:hAnsi="Work Sans" w:cs="Arial"/>
        </w:rPr>
        <w:t>es</w:t>
      </w:r>
      <w:r w:rsidRPr="00E1010D">
        <w:rPr>
          <w:rFonts w:ascii="Work Sans" w:hAnsi="Work Sans" w:cs="Arial"/>
        </w:rPr>
        <w:t xml:space="preserve"> de Expansión de Transmisión</w:t>
      </w:r>
      <w:bookmarkEnd w:id="4"/>
    </w:p>
    <w:p w:rsidRPr="00E1010D" w:rsidR="00EC529A" w:rsidP="001B547B" w:rsidRDefault="00EC529A" w14:paraId="6AE2C22B" w14:textId="77777777">
      <w:pPr>
        <w:pStyle w:val="ListParagraph"/>
        <w:jc w:val="both"/>
        <w:rPr>
          <w:rFonts w:ascii="Work Sans" w:hAnsi="Work Sans" w:cs="Arial"/>
          <w:b/>
          <w:bCs/>
        </w:rPr>
      </w:pPr>
    </w:p>
    <w:p w:rsidR="00171D79" w:rsidP="001B547B" w:rsidRDefault="00171D79" w14:paraId="361F9CC6" w14:textId="77777777">
      <w:pPr>
        <w:pStyle w:val="paragraph"/>
        <w:spacing w:before="0" w:beforeAutospacing="0" w:after="0" w:afterAutospacing="0"/>
        <w:jc w:val="both"/>
        <w:rPr>
          <w:rStyle w:val="normaltextrun"/>
          <w:rFonts w:ascii="Work Sans" w:hAnsi="Work Sans" w:cs="Arial"/>
          <w:lang w:val="es-ES"/>
        </w:rPr>
      </w:pPr>
      <w:r w:rsidRPr="00171D79">
        <w:rPr>
          <w:rStyle w:val="normaltextrun"/>
          <w:rFonts w:ascii="Work Sans" w:hAnsi="Work Sans" w:cs="Arial"/>
          <w:lang w:val="es-ES"/>
        </w:rPr>
        <w:t xml:space="preserve">Como parte de las actividades de apoyo a la planeación sectorial, el Grupo de Gestión del Sector Eléctrico Colombiano participó en la revisión técnica y elaboración de los proyectos de resolución mediante los cuales el Ministerio de Minas y Energía adoptó los Planes de Expansión de Referencia de Generación y Transmisión elaborados por la Unidad de Planeación </w:t>
      </w:r>
      <w:proofErr w:type="gramStart"/>
      <w:r w:rsidRPr="00171D79">
        <w:rPr>
          <w:rStyle w:val="normaltextrun"/>
          <w:rFonts w:ascii="Work Sans" w:hAnsi="Work Sans" w:cs="Arial"/>
          <w:lang w:val="es-ES"/>
        </w:rPr>
        <w:t>Minero Energética</w:t>
      </w:r>
      <w:proofErr w:type="gramEnd"/>
      <w:r w:rsidRPr="00171D79">
        <w:rPr>
          <w:rStyle w:val="normaltextrun"/>
          <w:rFonts w:ascii="Work Sans" w:hAnsi="Work Sans" w:cs="Arial"/>
          <w:lang w:val="es-ES"/>
        </w:rPr>
        <w:t xml:space="preserve"> (UPME). Estas actividades incluyeron el análisis de los proyectos recomendados por la UPME, la revisión de los soportes técnicos, la consolidación de observaciones y la preparación de los actos administrativos requeridos para su adopción por parte del Ministerio.</w:t>
      </w:r>
    </w:p>
    <w:p w:rsidRPr="00874507" w:rsidR="00874507" w:rsidP="00C473BE" w:rsidRDefault="00874507" w14:paraId="44AFAD54" w14:textId="77777777">
      <w:pPr>
        <w:pStyle w:val="paragraph"/>
        <w:spacing w:before="0" w:beforeAutospacing="0" w:after="0" w:afterAutospacing="0"/>
        <w:jc w:val="both"/>
        <w:rPr>
          <w:rStyle w:val="normaltextrun"/>
          <w:rFonts w:ascii="Work Sans" w:hAnsi="Work Sans" w:cs="Arial"/>
          <w:lang w:val="es-ES"/>
        </w:rPr>
      </w:pPr>
    </w:p>
    <w:p w:rsidR="003E36AC" w:rsidP="00C473BE" w:rsidRDefault="003E36AC" w14:paraId="67AA6842" w14:textId="7A7A4C5B">
      <w:pPr>
        <w:pStyle w:val="paragraph"/>
        <w:spacing w:before="0" w:beforeAutospacing="0" w:after="0" w:afterAutospacing="0"/>
        <w:jc w:val="both"/>
        <w:rPr>
          <w:rStyle w:val="normaltextrun"/>
          <w:rFonts w:ascii="Work Sans" w:hAnsi="Work Sans" w:cs="Arial"/>
          <w:lang w:val="es-ES"/>
        </w:rPr>
      </w:pPr>
      <w:r>
        <w:rPr>
          <w:rStyle w:val="normaltextrun"/>
          <w:rFonts w:ascii="Work Sans" w:hAnsi="Work Sans" w:cs="Arial"/>
          <w:lang w:val="es-ES"/>
        </w:rPr>
        <w:t>Las resoluciones mediante las cuales se adoptaron los Planes de Expansión de transmisión (junto con sus modificaciones se muestran a continuación:</w:t>
      </w:r>
    </w:p>
    <w:p w:rsidR="003E36AC" w:rsidP="00C473BE" w:rsidRDefault="003E36AC" w14:paraId="0B5B0F78" w14:textId="24FC037E">
      <w:pPr>
        <w:pStyle w:val="paragraph"/>
        <w:spacing w:before="0" w:beforeAutospacing="0" w:after="0" w:afterAutospacing="0"/>
        <w:jc w:val="both"/>
        <w:rPr>
          <w:rStyle w:val="normaltextrun"/>
          <w:rFonts w:ascii="Work Sans" w:hAnsi="Work Sans" w:cs="Arial"/>
          <w:lang w:val="es-ES"/>
        </w:rPr>
      </w:pPr>
    </w:p>
    <w:tbl>
      <w:tblPr>
        <w:tblW w:w="8822" w:type="dxa"/>
        <w:jc w:val="center"/>
        <w:tblBorders>
          <w:top w:val="single" w:color="auto" w:sz="6" w:space="0"/>
          <w:left w:val="single" w:color="auto" w:sz="6" w:space="0"/>
          <w:bottom w:val="single" w:color="auto" w:sz="6" w:space="0"/>
          <w:right w:val="single" w:color="auto" w:sz="6" w:space="0"/>
        </w:tblBorders>
        <w:tblCellMar>
          <w:top w:w="160" w:type="dxa"/>
          <w:left w:w="160" w:type="dxa"/>
          <w:bottom w:w="160" w:type="dxa"/>
          <w:right w:w="160" w:type="dxa"/>
        </w:tblCellMar>
        <w:tblLook w:val="04A0" w:firstRow="1" w:lastRow="0" w:firstColumn="1" w:lastColumn="0" w:noHBand="0" w:noVBand="1"/>
      </w:tblPr>
      <w:tblGrid>
        <w:gridCol w:w="1065"/>
        <w:gridCol w:w="1479"/>
        <w:gridCol w:w="6278"/>
      </w:tblGrid>
      <w:tr w:rsidRPr="00307C18" w:rsidR="00495AA2" w:rsidTr="78D61EF3" w14:paraId="0D2CDD1D" w14:textId="77777777">
        <w:trPr>
          <w:tblHeader/>
        </w:trPr>
        <w:tc>
          <w:tcPr>
            <w:tcW w:w="1065"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495AA2" w14:paraId="4A769143" w14:textId="77777777">
            <w:pPr>
              <w:pStyle w:val="p1"/>
              <w:jc w:val="center"/>
              <w:rPr>
                <w:rFonts w:ascii="Work Sans" w:hAnsi="Work Sans"/>
                <w:b/>
                <w:bCs/>
                <w:sz w:val="20"/>
                <w:szCs w:val="20"/>
              </w:rPr>
            </w:pPr>
            <w:r w:rsidRPr="00307C18">
              <w:rPr>
                <w:rFonts w:ascii="Work Sans" w:hAnsi="Work Sans"/>
                <w:b/>
                <w:bCs/>
                <w:sz w:val="20"/>
                <w:szCs w:val="20"/>
              </w:rPr>
              <w:t>Año</w:t>
            </w:r>
          </w:p>
        </w:tc>
        <w:tc>
          <w:tcPr>
            <w:tcW w:w="1479"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495AA2" w14:paraId="41AF8830" w14:textId="77777777">
            <w:pPr>
              <w:pStyle w:val="p1"/>
              <w:jc w:val="center"/>
              <w:rPr>
                <w:rFonts w:ascii="Work Sans" w:hAnsi="Work Sans"/>
                <w:b/>
                <w:bCs/>
                <w:sz w:val="20"/>
                <w:szCs w:val="20"/>
              </w:rPr>
            </w:pPr>
            <w:r w:rsidRPr="00307C18">
              <w:rPr>
                <w:rFonts w:ascii="Work Sans" w:hAnsi="Work Sans"/>
                <w:b/>
                <w:bCs/>
                <w:sz w:val="20"/>
                <w:szCs w:val="20"/>
              </w:rPr>
              <w:t>Resolución</w:t>
            </w:r>
          </w:p>
        </w:tc>
        <w:tc>
          <w:tcPr>
            <w:tcW w:w="627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9F63BF" w14:paraId="060872E8" w14:textId="44D4F424">
            <w:pPr>
              <w:pStyle w:val="p1"/>
              <w:jc w:val="center"/>
              <w:rPr>
                <w:rFonts w:ascii="Work Sans" w:hAnsi="Work Sans"/>
                <w:b/>
                <w:bCs/>
                <w:sz w:val="20"/>
                <w:szCs w:val="20"/>
              </w:rPr>
            </w:pPr>
            <w:r>
              <w:rPr>
                <w:rFonts w:ascii="Work Sans" w:hAnsi="Work Sans"/>
                <w:b/>
                <w:bCs/>
                <w:sz w:val="20"/>
                <w:szCs w:val="20"/>
              </w:rPr>
              <w:t>Enlace</w:t>
            </w:r>
          </w:p>
        </w:tc>
      </w:tr>
      <w:tr w:rsidRPr="00307C18" w:rsidR="00495AA2" w:rsidTr="78D61EF3" w14:paraId="1F198335" w14:textId="77777777">
        <w:trPr/>
        <w:tc>
          <w:tcPr>
            <w:tcW w:w="1065"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495AA2" w14:paraId="0D2B692C" w14:textId="77777777">
            <w:pPr>
              <w:pStyle w:val="p1"/>
              <w:rPr>
                <w:rFonts w:ascii="Work Sans" w:hAnsi="Work Sans"/>
                <w:sz w:val="20"/>
                <w:szCs w:val="20"/>
              </w:rPr>
            </w:pPr>
            <w:r w:rsidRPr="00307C18">
              <w:rPr>
                <w:rFonts w:ascii="Work Sans" w:hAnsi="Work Sans"/>
                <w:sz w:val="20"/>
                <w:szCs w:val="20"/>
              </w:rPr>
              <w:t>2023</w:t>
            </w:r>
          </w:p>
        </w:tc>
        <w:tc>
          <w:tcPr>
            <w:tcW w:w="1479"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495AA2" w14:paraId="556E62F9" w14:textId="77777777">
            <w:pPr>
              <w:pStyle w:val="p1"/>
              <w:rPr>
                <w:rFonts w:ascii="Work Sans" w:hAnsi="Work Sans"/>
                <w:sz w:val="20"/>
                <w:szCs w:val="20"/>
              </w:rPr>
            </w:pPr>
            <w:r w:rsidRPr="00307C18">
              <w:rPr>
                <w:rFonts w:ascii="Work Sans" w:hAnsi="Work Sans"/>
                <w:sz w:val="20"/>
                <w:szCs w:val="20"/>
              </w:rPr>
              <w:t>Resolución 40477 de 2023</w:t>
            </w:r>
          </w:p>
        </w:tc>
        <w:tc>
          <w:tcPr>
            <w:tcW w:w="627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9A6BB5" w14:paraId="06D7C7D2" w14:textId="27A8AE38">
            <w:pPr>
              <w:pStyle w:val="p1"/>
              <w:rPr>
                <w:rFonts w:ascii="Work Sans" w:hAnsi="Work Sans"/>
                <w:sz w:val="20"/>
                <w:szCs w:val="20"/>
              </w:rPr>
            </w:pPr>
            <w:hyperlink w:history="1" r:id="rId10">
              <w:r w:rsidRPr="009A6BB5">
                <w:rPr>
                  <w:rStyle w:val="Hyperlink"/>
                  <w:rFonts w:ascii="Work Sans" w:hAnsi="Work Sans"/>
                  <w:sz w:val="20"/>
                  <w:szCs w:val="20"/>
                </w:rPr>
                <w:t>Por la cual se adopta el Plan de Expansión de Referencia Generación Transmisión 2022 - 2036</w:t>
              </w:r>
            </w:hyperlink>
          </w:p>
        </w:tc>
      </w:tr>
      <w:tr w:rsidRPr="00307C18" w:rsidR="00495AA2" w:rsidTr="78D61EF3" w14:paraId="29B2C7F8" w14:textId="77777777">
        <w:trPr/>
        <w:tc>
          <w:tcPr>
            <w:tcW w:w="1065"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495AA2" w14:paraId="30CB3968" w14:textId="77777777">
            <w:pPr>
              <w:pStyle w:val="p1"/>
              <w:rPr>
                <w:rFonts w:ascii="Work Sans" w:hAnsi="Work Sans"/>
                <w:sz w:val="20"/>
                <w:szCs w:val="20"/>
              </w:rPr>
            </w:pPr>
            <w:r w:rsidRPr="00307C18">
              <w:rPr>
                <w:rFonts w:ascii="Work Sans" w:hAnsi="Work Sans"/>
                <w:sz w:val="20"/>
                <w:szCs w:val="20"/>
              </w:rPr>
              <w:t>2024</w:t>
            </w:r>
          </w:p>
        </w:tc>
        <w:tc>
          <w:tcPr>
            <w:tcW w:w="1479"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495AA2" w14:paraId="7F662A9C" w14:textId="77777777">
            <w:pPr>
              <w:pStyle w:val="p1"/>
              <w:rPr>
                <w:rFonts w:ascii="Work Sans" w:hAnsi="Work Sans"/>
                <w:sz w:val="20"/>
                <w:szCs w:val="20"/>
              </w:rPr>
            </w:pPr>
            <w:r w:rsidRPr="00307C18">
              <w:rPr>
                <w:rFonts w:ascii="Work Sans" w:hAnsi="Work Sans"/>
                <w:sz w:val="20"/>
                <w:szCs w:val="20"/>
              </w:rPr>
              <w:t>Resolución 40252 de 2024</w:t>
            </w:r>
          </w:p>
        </w:tc>
        <w:tc>
          <w:tcPr>
            <w:tcW w:w="627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7C6B19" w14:paraId="0D7DAF17" w14:textId="4AD3BBBB">
            <w:pPr>
              <w:pStyle w:val="p1"/>
              <w:rPr>
                <w:rFonts w:ascii="Work Sans" w:hAnsi="Work Sans"/>
                <w:sz w:val="20"/>
                <w:szCs w:val="20"/>
              </w:rPr>
            </w:pPr>
            <w:hyperlink w:history="1" r:id="rId11">
              <w:r w:rsidRPr="007C6B19">
                <w:rPr>
                  <w:rStyle w:val="Hyperlink"/>
                  <w:rFonts w:ascii="Work Sans" w:hAnsi="Work Sans"/>
                  <w:sz w:val="20"/>
                  <w:szCs w:val="20"/>
                </w:rPr>
                <w:t>Por la cual se adopta Anexo al Plan de Expansión de Transmisión 2022 — 2036</w:t>
              </w:r>
            </w:hyperlink>
          </w:p>
        </w:tc>
      </w:tr>
      <w:tr w:rsidRPr="00307C18" w:rsidR="00FD0587" w:rsidTr="78D61EF3" w14:paraId="55FC45A4" w14:textId="77777777">
        <w:trPr/>
        <w:tc>
          <w:tcPr>
            <w:tcW w:w="1065"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307C18" w:rsidR="00FD0587" w:rsidP="00FD0587" w:rsidRDefault="00FD0587" w14:paraId="630E62E1" w14:textId="2B00B22C">
            <w:pPr>
              <w:pStyle w:val="p1"/>
              <w:rPr>
                <w:rFonts w:ascii="Work Sans" w:hAnsi="Work Sans"/>
                <w:sz w:val="20"/>
                <w:szCs w:val="20"/>
              </w:rPr>
            </w:pPr>
            <w:r w:rsidRPr="00307C18">
              <w:rPr>
                <w:rFonts w:ascii="Work Sans" w:hAnsi="Work Sans"/>
                <w:sz w:val="20"/>
                <w:szCs w:val="20"/>
              </w:rPr>
              <w:t>2024</w:t>
            </w:r>
          </w:p>
        </w:tc>
        <w:tc>
          <w:tcPr>
            <w:tcW w:w="1479"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307C18" w:rsidR="00FD0587" w:rsidP="00FD0587" w:rsidRDefault="00FD0587" w14:paraId="39F44CC5" w14:textId="717EA623">
            <w:pPr>
              <w:pStyle w:val="p1"/>
              <w:rPr>
                <w:rFonts w:ascii="Work Sans" w:hAnsi="Work Sans"/>
                <w:sz w:val="20"/>
                <w:szCs w:val="20"/>
              </w:rPr>
            </w:pPr>
            <w:r w:rsidRPr="00307C18">
              <w:rPr>
                <w:rFonts w:ascii="Work Sans" w:hAnsi="Work Sans"/>
                <w:sz w:val="20"/>
                <w:szCs w:val="20"/>
              </w:rPr>
              <w:t>Resolución 40</w:t>
            </w:r>
            <w:r>
              <w:rPr>
                <w:rFonts w:ascii="Work Sans" w:hAnsi="Work Sans"/>
                <w:sz w:val="20"/>
                <w:szCs w:val="20"/>
              </w:rPr>
              <w:t>513</w:t>
            </w:r>
            <w:r w:rsidRPr="00307C18">
              <w:rPr>
                <w:rFonts w:ascii="Work Sans" w:hAnsi="Work Sans"/>
                <w:sz w:val="20"/>
                <w:szCs w:val="20"/>
              </w:rPr>
              <w:t xml:space="preserve"> de 2024</w:t>
            </w:r>
          </w:p>
        </w:tc>
        <w:tc>
          <w:tcPr>
            <w:tcW w:w="627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307C18" w:rsidR="00FD0587" w:rsidP="00FD0587" w:rsidRDefault="007C6B19" w14:paraId="6C320525" w14:textId="5A77F2CF">
            <w:pPr>
              <w:pStyle w:val="p1"/>
              <w:rPr>
                <w:rFonts w:ascii="Work Sans" w:hAnsi="Work Sans"/>
                <w:sz w:val="20"/>
                <w:szCs w:val="20"/>
              </w:rPr>
            </w:pPr>
            <w:hyperlink w:history="1" r:id="rId12">
              <w:r w:rsidRPr="007C6B19">
                <w:rPr>
                  <w:rStyle w:val="Hyperlink"/>
                  <w:rFonts w:ascii="Work Sans" w:hAnsi="Work Sans"/>
                  <w:sz w:val="20"/>
                  <w:szCs w:val="20"/>
                </w:rPr>
                <w:t>Por la cual se modifican parcialmente las Resoluciones 40039 del 11 de febrero de 2021, 40492 del 21 de noviembre de 2022 y 40252 del 18 de julio de 2024, asociadas a proyectos de los Planes de Expansión de Referencia Generación Transmisión 2015 — 2029, 2</w:t>
              </w:r>
            </w:hyperlink>
          </w:p>
        </w:tc>
      </w:tr>
      <w:tr w:rsidRPr="00307C18" w:rsidR="00495AA2" w:rsidTr="78D61EF3" w14:paraId="4BA4D821" w14:textId="77777777">
        <w:trPr/>
        <w:tc>
          <w:tcPr>
            <w:tcW w:w="1065"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495AA2" w14:paraId="4AAE3AED" w14:textId="77777777">
            <w:pPr>
              <w:pStyle w:val="p1"/>
              <w:rPr>
                <w:rFonts w:ascii="Work Sans" w:hAnsi="Work Sans"/>
                <w:sz w:val="20"/>
                <w:szCs w:val="20"/>
              </w:rPr>
            </w:pPr>
            <w:r w:rsidRPr="00307C18">
              <w:rPr>
                <w:rFonts w:ascii="Work Sans" w:hAnsi="Work Sans"/>
                <w:sz w:val="20"/>
                <w:szCs w:val="20"/>
              </w:rPr>
              <w:t>2024</w:t>
            </w:r>
          </w:p>
        </w:tc>
        <w:tc>
          <w:tcPr>
            <w:tcW w:w="1479"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495AA2" w14:paraId="19177B07" w14:textId="77777777">
            <w:pPr>
              <w:pStyle w:val="p1"/>
              <w:rPr>
                <w:rFonts w:ascii="Work Sans" w:hAnsi="Work Sans"/>
                <w:sz w:val="20"/>
                <w:szCs w:val="20"/>
              </w:rPr>
            </w:pPr>
            <w:r w:rsidRPr="00307C18">
              <w:rPr>
                <w:rFonts w:ascii="Work Sans" w:hAnsi="Work Sans"/>
                <w:sz w:val="20"/>
                <w:szCs w:val="20"/>
              </w:rPr>
              <w:t>Resolución 40529 de 2024</w:t>
            </w:r>
          </w:p>
        </w:tc>
        <w:tc>
          <w:tcPr>
            <w:tcW w:w="627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C353FA" w14:paraId="34D788B8" w14:textId="077EEE39">
            <w:pPr>
              <w:pStyle w:val="p1"/>
              <w:rPr>
                <w:rFonts w:ascii="Work Sans" w:hAnsi="Work Sans"/>
                <w:sz w:val="20"/>
                <w:szCs w:val="20"/>
              </w:rPr>
            </w:pPr>
            <w:hyperlink w:history="1" r:id="rId13">
              <w:r w:rsidRPr="00C353FA">
                <w:rPr>
                  <w:rStyle w:val="Hyperlink"/>
                  <w:rFonts w:ascii="Work Sans" w:hAnsi="Work Sans"/>
                  <w:sz w:val="20"/>
                  <w:szCs w:val="20"/>
                </w:rPr>
                <w:t>Por la cual se adopta anexo complementario al Plan de Expansión de Transmisión 2022 - 2036 que contiene obras del primer y segundo paquete de obras urgentes 2024 y se modifica parcialmente la resolución 40477 de 2023</w:t>
              </w:r>
            </w:hyperlink>
          </w:p>
        </w:tc>
      </w:tr>
      <w:tr w:rsidRPr="00307C18" w:rsidR="009C05FF" w:rsidTr="78D61EF3" w14:paraId="6E1EF39E" w14:textId="77777777">
        <w:trPr/>
        <w:tc>
          <w:tcPr>
            <w:tcW w:w="1065"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307C18" w:rsidR="009C05FF" w:rsidP="009C05FF" w:rsidRDefault="009C05FF" w14:paraId="1C2C91E7" w14:textId="381D0C60">
            <w:pPr>
              <w:pStyle w:val="p1"/>
              <w:rPr>
                <w:rFonts w:ascii="Work Sans" w:hAnsi="Work Sans"/>
                <w:sz w:val="20"/>
                <w:szCs w:val="20"/>
              </w:rPr>
            </w:pPr>
            <w:r w:rsidRPr="00307C18">
              <w:rPr>
                <w:rFonts w:ascii="Work Sans" w:hAnsi="Work Sans"/>
                <w:sz w:val="20"/>
                <w:szCs w:val="20"/>
              </w:rPr>
              <w:t>202</w:t>
            </w:r>
            <w:r>
              <w:rPr>
                <w:rFonts w:ascii="Work Sans" w:hAnsi="Work Sans"/>
                <w:sz w:val="20"/>
                <w:szCs w:val="20"/>
              </w:rPr>
              <w:t>5</w:t>
            </w:r>
          </w:p>
        </w:tc>
        <w:tc>
          <w:tcPr>
            <w:tcW w:w="1479"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307C18" w:rsidR="009C05FF" w:rsidP="009C05FF" w:rsidRDefault="009C05FF" w14:paraId="74E612B2" w14:textId="0CFE3200">
            <w:pPr>
              <w:pStyle w:val="p1"/>
              <w:rPr>
                <w:rFonts w:ascii="Work Sans" w:hAnsi="Work Sans"/>
                <w:sz w:val="20"/>
                <w:szCs w:val="20"/>
              </w:rPr>
            </w:pPr>
            <w:r w:rsidRPr="00307C18">
              <w:rPr>
                <w:rFonts w:ascii="Work Sans" w:hAnsi="Work Sans"/>
                <w:sz w:val="20"/>
                <w:szCs w:val="20"/>
              </w:rPr>
              <w:t>Resolución 40</w:t>
            </w:r>
            <w:r>
              <w:rPr>
                <w:rFonts w:ascii="Work Sans" w:hAnsi="Work Sans"/>
                <w:sz w:val="20"/>
                <w:szCs w:val="20"/>
              </w:rPr>
              <w:t>245</w:t>
            </w:r>
            <w:r w:rsidRPr="00307C18">
              <w:rPr>
                <w:rFonts w:ascii="Work Sans" w:hAnsi="Work Sans"/>
                <w:sz w:val="20"/>
                <w:szCs w:val="20"/>
              </w:rPr>
              <w:t xml:space="preserve"> de 202</w:t>
            </w:r>
            <w:r>
              <w:rPr>
                <w:rFonts w:ascii="Work Sans" w:hAnsi="Work Sans"/>
                <w:sz w:val="20"/>
                <w:szCs w:val="20"/>
              </w:rPr>
              <w:t>5</w:t>
            </w:r>
          </w:p>
        </w:tc>
        <w:tc>
          <w:tcPr>
            <w:tcW w:w="627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307C18" w:rsidR="009C05FF" w:rsidP="009C05FF" w:rsidRDefault="00B773C0" w14:paraId="39683751" w14:textId="20253CE1">
            <w:pPr>
              <w:pStyle w:val="p1"/>
              <w:rPr>
                <w:rFonts w:ascii="Work Sans" w:hAnsi="Work Sans"/>
                <w:sz w:val="20"/>
                <w:szCs w:val="20"/>
              </w:rPr>
            </w:pPr>
            <w:hyperlink w:history="1" r:id="rId14">
              <w:r w:rsidRPr="00B773C0">
                <w:rPr>
                  <w:rStyle w:val="Hyperlink"/>
                  <w:rFonts w:ascii="Work Sans" w:hAnsi="Work Sans"/>
                  <w:sz w:val="20"/>
                  <w:szCs w:val="20"/>
                </w:rPr>
                <w:t>Por medio de la cual se adopta el Plan de Expansión de Transmisión 2024-2038</w:t>
              </w:r>
            </w:hyperlink>
          </w:p>
        </w:tc>
      </w:tr>
      <w:tr w:rsidRPr="00307C18" w:rsidR="000C08E7" w:rsidTr="78D61EF3" w14:paraId="321002F5" w14:textId="77777777">
        <w:trPr/>
        <w:tc>
          <w:tcPr>
            <w:tcW w:w="1065"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307C18" w:rsidR="000C08E7" w:rsidP="000C08E7" w:rsidRDefault="000C08E7" w14:paraId="24A48CA9" w14:textId="41845B78">
            <w:pPr>
              <w:pStyle w:val="p1"/>
              <w:rPr>
                <w:rFonts w:ascii="Work Sans" w:hAnsi="Work Sans"/>
                <w:sz w:val="20"/>
                <w:szCs w:val="20"/>
              </w:rPr>
            </w:pPr>
            <w:r w:rsidRPr="00307C18">
              <w:rPr>
                <w:rFonts w:ascii="Work Sans" w:hAnsi="Work Sans"/>
                <w:sz w:val="20"/>
                <w:szCs w:val="20"/>
              </w:rPr>
              <w:t>2025</w:t>
            </w:r>
          </w:p>
        </w:tc>
        <w:tc>
          <w:tcPr>
            <w:tcW w:w="1479"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307C18" w:rsidR="000C08E7" w:rsidP="000C08E7" w:rsidRDefault="000C08E7" w14:paraId="57B4F095" w14:textId="2070F47A">
            <w:pPr>
              <w:pStyle w:val="p1"/>
              <w:rPr>
                <w:rFonts w:ascii="Work Sans" w:hAnsi="Work Sans"/>
                <w:sz w:val="20"/>
                <w:szCs w:val="20"/>
              </w:rPr>
            </w:pPr>
            <w:r w:rsidRPr="00307C18">
              <w:rPr>
                <w:rFonts w:ascii="Work Sans" w:hAnsi="Work Sans"/>
                <w:sz w:val="20"/>
                <w:szCs w:val="20"/>
              </w:rPr>
              <w:t>Resolución 4060</w:t>
            </w:r>
            <w:r>
              <w:rPr>
                <w:rFonts w:ascii="Work Sans" w:hAnsi="Work Sans"/>
                <w:sz w:val="20"/>
                <w:szCs w:val="20"/>
              </w:rPr>
              <w:t xml:space="preserve">0 </w:t>
            </w:r>
            <w:r w:rsidRPr="00307C18">
              <w:rPr>
                <w:rFonts w:ascii="Work Sans" w:hAnsi="Work Sans"/>
                <w:sz w:val="20"/>
                <w:szCs w:val="20"/>
              </w:rPr>
              <w:t>de 2025</w:t>
            </w:r>
          </w:p>
        </w:tc>
        <w:tc>
          <w:tcPr>
            <w:tcW w:w="627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307C18" w:rsidR="000C08E7" w:rsidP="000C08E7" w:rsidRDefault="00EC3F7D" w14:paraId="537E5F04" w14:textId="2487F149">
            <w:pPr>
              <w:pStyle w:val="p1"/>
              <w:rPr>
                <w:rFonts w:ascii="Work Sans" w:hAnsi="Work Sans"/>
                <w:sz w:val="20"/>
                <w:szCs w:val="20"/>
              </w:rPr>
            </w:pPr>
            <w:hyperlink w:history="1" r:id="rId15">
              <w:r w:rsidRPr="00EC3F7D">
                <w:rPr>
                  <w:rStyle w:val="Hyperlink"/>
                  <w:rFonts w:ascii="Work Sans" w:hAnsi="Work Sans"/>
                  <w:sz w:val="20"/>
                  <w:szCs w:val="20"/>
                </w:rPr>
                <w:t>Por medio de la cual se modifica la Resolución 40529 del 6 de diciembre de 2024 “Por la cual se adopta anexo complementario al Plan de Expansión de Transmisión 2022-2036 que contiene obras del primer y Segundo paquete de obras urgente 2024 y se modifica p</w:t>
              </w:r>
            </w:hyperlink>
          </w:p>
        </w:tc>
      </w:tr>
      <w:tr w:rsidRPr="00307C18" w:rsidR="00495AA2" w:rsidTr="78D61EF3" w14:paraId="39BF0D8B" w14:textId="77777777">
        <w:trPr/>
        <w:tc>
          <w:tcPr>
            <w:tcW w:w="1065"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495AA2" w14:paraId="0E04494D" w14:textId="77777777">
            <w:pPr>
              <w:pStyle w:val="p1"/>
              <w:rPr>
                <w:rFonts w:ascii="Work Sans" w:hAnsi="Work Sans"/>
                <w:sz w:val="20"/>
                <w:szCs w:val="20"/>
              </w:rPr>
            </w:pPr>
            <w:r w:rsidRPr="00307C18">
              <w:rPr>
                <w:rFonts w:ascii="Work Sans" w:hAnsi="Work Sans"/>
                <w:sz w:val="20"/>
                <w:szCs w:val="20"/>
              </w:rPr>
              <w:t>2025</w:t>
            </w:r>
          </w:p>
        </w:tc>
        <w:tc>
          <w:tcPr>
            <w:tcW w:w="1479"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495AA2" w14:paraId="557CC43F" w14:textId="77777777">
            <w:pPr>
              <w:pStyle w:val="p1"/>
              <w:rPr>
                <w:rFonts w:ascii="Work Sans" w:hAnsi="Work Sans"/>
                <w:sz w:val="20"/>
                <w:szCs w:val="20"/>
              </w:rPr>
            </w:pPr>
            <w:r w:rsidRPr="00307C18">
              <w:rPr>
                <w:rFonts w:ascii="Work Sans" w:hAnsi="Work Sans"/>
                <w:sz w:val="20"/>
                <w:szCs w:val="20"/>
              </w:rPr>
              <w:t>Resolución 40601 de 2025</w:t>
            </w:r>
          </w:p>
        </w:tc>
        <w:tc>
          <w:tcPr>
            <w:tcW w:w="627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307C18" w:rsidR="00495AA2" w:rsidRDefault="00987838" w14:paraId="2E818459" w14:textId="6F278F24">
            <w:pPr>
              <w:pStyle w:val="p1"/>
              <w:rPr>
                <w:rFonts w:ascii="Work Sans" w:hAnsi="Work Sans"/>
                <w:sz w:val="20"/>
                <w:szCs w:val="20"/>
              </w:rPr>
            </w:pPr>
            <w:hyperlink w:history="1" r:id="rId16">
              <w:r w:rsidRPr="00987838" w:rsidR="009F63BF">
                <w:rPr>
                  <w:rStyle w:val="Hyperlink"/>
                  <w:rFonts w:ascii="Work Sans" w:hAnsi="Work Sans"/>
                  <w:sz w:val="20"/>
                  <w:szCs w:val="20"/>
                </w:rPr>
                <w:t>Por medio de la cual se modifica la Resolución 40245 del 4 de junio de 2025 “Por medio de la cual se adopta el Plan de Expansión de Transmisión 2024-2038"</w:t>
              </w:r>
            </w:hyperlink>
          </w:p>
        </w:tc>
      </w:tr>
      <w:tr w:rsidRPr="00307C18" w:rsidR="00832ECE" w:rsidTr="78D61EF3" w14:paraId="7E92D964" w14:textId="77777777">
        <w:trPr/>
        <w:tc>
          <w:tcPr>
            <w:tcW w:w="1065"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307C18" w:rsidR="00832ECE" w:rsidRDefault="00832ECE" w14:paraId="21CA38C3" w14:textId="72B130FA">
            <w:pPr>
              <w:pStyle w:val="p1"/>
              <w:rPr>
                <w:rFonts w:ascii="Work Sans" w:hAnsi="Work Sans"/>
                <w:sz w:val="20"/>
                <w:szCs w:val="20"/>
              </w:rPr>
            </w:pPr>
            <w:r w:rsidRPr="00307C18">
              <w:rPr>
                <w:rFonts w:ascii="Work Sans" w:hAnsi="Work Sans"/>
                <w:sz w:val="20"/>
                <w:szCs w:val="20"/>
              </w:rPr>
              <w:t>2025</w:t>
            </w:r>
          </w:p>
        </w:tc>
        <w:tc>
          <w:tcPr>
            <w:tcW w:w="1479"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307C18" w:rsidR="00832ECE" w:rsidRDefault="00832ECE" w14:paraId="65F045BD" w14:textId="4F5125EB">
            <w:pPr>
              <w:pStyle w:val="p1"/>
              <w:rPr>
                <w:rFonts w:ascii="Work Sans" w:hAnsi="Work Sans"/>
                <w:sz w:val="20"/>
                <w:szCs w:val="20"/>
              </w:rPr>
            </w:pPr>
            <w:r w:rsidRPr="00307C18">
              <w:rPr>
                <w:rFonts w:ascii="Work Sans" w:hAnsi="Work Sans"/>
                <w:sz w:val="20"/>
                <w:szCs w:val="20"/>
              </w:rPr>
              <w:t>Resolución 40632 de 2025</w:t>
            </w:r>
          </w:p>
        </w:tc>
        <w:tc>
          <w:tcPr>
            <w:tcW w:w="627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tcPr>
          <w:p w:rsidRPr="00307C18" w:rsidR="00832ECE" w:rsidRDefault="00244568" w14:paraId="4DB046A4" w14:textId="04AB739C">
            <w:pPr>
              <w:pStyle w:val="p1"/>
              <w:rPr>
                <w:rFonts w:ascii="Work Sans" w:hAnsi="Work Sans"/>
                <w:sz w:val="20"/>
                <w:szCs w:val="20"/>
              </w:rPr>
            </w:pPr>
            <w:hyperlink w:history="1" r:id="rId17">
              <w:r w:rsidRPr="00244568" w:rsidR="00307C18">
                <w:rPr>
                  <w:rStyle w:val="Hyperlink"/>
                  <w:rFonts w:ascii="Work Sans" w:hAnsi="Work Sans"/>
                  <w:sz w:val="20"/>
                  <w:szCs w:val="20"/>
                </w:rPr>
                <w:t>Por la cual se modifica la Resolución 40279 del 26 de agosto de 2021, asociada a los proyectos del Plan de Expansión de Referencia Generación Transmisión 2020-2034</w:t>
              </w:r>
            </w:hyperlink>
          </w:p>
        </w:tc>
      </w:tr>
    </w:tbl>
    <w:p w:rsidR="003E36AC" w:rsidP="00C473BE" w:rsidRDefault="003E36AC" w14:paraId="4FB88960" w14:textId="30C7BF04">
      <w:pPr>
        <w:pStyle w:val="paragraph"/>
        <w:spacing w:before="0" w:beforeAutospacing="0" w:after="0" w:afterAutospacing="0"/>
        <w:jc w:val="both"/>
        <w:rPr>
          <w:rStyle w:val="normaltextrun"/>
          <w:rFonts w:ascii="Work Sans" w:hAnsi="Work Sans" w:cs="Arial"/>
          <w:lang w:val="es-ES"/>
        </w:rPr>
      </w:pPr>
    </w:p>
    <w:p w:rsidR="00C473BE" w:rsidP="00C473BE" w:rsidRDefault="00C473BE" w14:paraId="5DB860FF" w14:textId="410646C5">
      <w:pPr>
        <w:pStyle w:val="paragraph"/>
        <w:spacing w:before="0" w:beforeAutospacing="0" w:after="0" w:afterAutospacing="0"/>
        <w:jc w:val="both"/>
        <w:rPr>
          <w:rStyle w:val="normaltextrun"/>
          <w:rFonts w:ascii="Work Sans" w:hAnsi="Work Sans" w:cs="Arial"/>
          <w:lang w:val="es-ES"/>
        </w:rPr>
      </w:pPr>
      <w:r w:rsidRPr="00C473BE">
        <w:rPr>
          <w:rStyle w:val="normaltextrun"/>
          <w:rFonts w:ascii="Work Sans" w:hAnsi="Work Sans" w:cs="Arial"/>
          <w:lang w:val="es-ES"/>
        </w:rPr>
        <w:t>La capacidad adicional habilitada mediante estas obras fortalece la capacidad de transporte y transformación del sistema eléctrico, facilita la conexión de nuevos proyectos de generación y contribuye a la reducción de restricciones operativas en diferentes regiones del país. De igual manera, los beneficios económicos estimados reflejan el impacto positivo de estas inversiones sobre la confiabilidad del suministro y la reducción de riesgos asociados a eventos de Demanda No Atendida</w:t>
      </w:r>
      <w:r>
        <w:rPr>
          <w:rStyle w:val="normaltextrun"/>
          <w:rFonts w:ascii="Work Sans" w:hAnsi="Work Sans" w:cs="Arial"/>
          <w:lang w:val="es-ES"/>
        </w:rPr>
        <w:t>.</w:t>
      </w:r>
    </w:p>
    <w:p w:rsidR="00874507" w:rsidP="00C473BE" w:rsidRDefault="00874507" w14:paraId="3486F1EF" w14:textId="77777777">
      <w:pPr>
        <w:pStyle w:val="paragraph"/>
        <w:spacing w:before="0" w:beforeAutospacing="0" w:after="0" w:afterAutospacing="0"/>
        <w:jc w:val="both"/>
        <w:rPr>
          <w:rStyle w:val="normaltextrun"/>
          <w:rFonts w:ascii="Work Sans" w:hAnsi="Work Sans" w:cs="Arial"/>
          <w:lang w:val="es-ES"/>
        </w:rPr>
      </w:pPr>
    </w:p>
    <w:p w:rsidRPr="00E1010D" w:rsidR="00EC529A" w:rsidP="00C473BE" w:rsidRDefault="0095689B" w14:paraId="183FD114" w14:textId="157985C0">
      <w:pPr>
        <w:pStyle w:val="paragraph"/>
        <w:spacing w:before="0" w:beforeAutospacing="0" w:after="0" w:afterAutospacing="0"/>
        <w:jc w:val="both"/>
        <w:rPr>
          <w:rFonts w:ascii="Work Sans" w:hAnsi="Work Sans" w:cs="Arial"/>
        </w:rPr>
      </w:pPr>
      <w:r>
        <w:rPr>
          <w:rStyle w:val="normaltextrun"/>
          <w:rFonts w:ascii="Work Sans" w:hAnsi="Work Sans" w:cs="Arial"/>
          <w:lang w:val="es-ES"/>
        </w:rPr>
        <w:t>Adicionalmente, l</w:t>
      </w:r>
      <w:r w:rsidRPr="00E1010D" w:rsidR="00EC529A">
        <w:rPr>
          <w:rStyle w:val="normaltextrun"/>
          <w:rFonts w:ascii="Work Sans" w:hAnsi="Work Sans" w:cs="Arial"/>
          <w:lang w:val="es-ES"/>
        </w:rPr>
        <w:t>a Unidad de Planeación Minero-Energética (UPME) elaboró el Plan de Expansión de Transmisión 2025-2039, en el cual se identifican las obras necesarias para mejorar la calidad, seguridad y confiabilidad del suministro de energía en diversas regiones del país. Este plan responde a la necesidad de atender las crecientes demandas del sistema eléctrico y garantizar un servicio eficiente a largo plazo.</w:t>
      </w:r>
      <w:r w:rsidRPr="00E1010D" w:rsidR="00EC529A">
        <w:rPr>
          <w:rStyle w:val="eop"/>
          <w:rFonts w:ascii="Work Sans" w:hAnsi="Work Sans" w:cs="Arial"/>
        </w:rPr>
        <w:t> </w:t>
      </w:r>
    </w:p>
    <w:p w:rsidRPr="00E1010D" w:rsidR="00EC529A" w:rsidP="001B547B" w:rsidRDefault="00EC529A" w14:paraId="63449DA4" w14:textId="77777777">
      <w:pPr>
        <w:pStyle w:val="paragraph"/>
        <w:spacing w:before="0" w:beforeAutospacing="0" w:after="0" w:afterAutospacing="0"/>
        <w:jc w:val="both"/>
        <w:rPr>
          <w:rFonts w:ascii="Work Sans" w:hAnsi="Work Sans" w:cs="Arial"/>
        </w:rPr>
      </w:pPr>
      <w:r w:rsidRPr="00E1010D">
        <w:rPr>
          <w:rStyle w:val="eop"/>
          <w:rFonts w:ascii="Work Sans" w:hAnsi="Work Sans" w:cs="Arial"/>
        </w:rPr>
        <w:t> </w:t>
      </w:r>
    </w:p>
    <w:p w:rsidR="18577597" w:rsidP="53DD9BC4" w:rsidRDefault="18577597" w14:paraId="2EC9A6FB" w14:textId="542CE484">
      <w:pPr>
        <w:pStyle w:val="paragraph"/>
        <w:spacing w:before="0" w:beforeAutospacing="0" w:after="0" w:afterAutospacing="0"/>
        <w:jc w:val="both"/>
        <w:rPr>
          <w:rFonts w:ascii="Work Sans" w:hAnsi="Work Sans" w:cs="Arial"/>
        </w:rPr>
      </w:pPr>
      <w:r w:rsidRPr="53DD9BC4">
        <w:rPr>
          <w:rStyle w:val="eop"/>
          <w:rFonts w:ascii="Work Sans" w:hAnsi="Work Sans" w:cs="Arial"/>
        </w:rPr>
        <w:t>En este contexto, el Ministerio de Minas y Energía, a través del Grupo de Fondos y Gestión del Sector, ha adelantado las actuaciones necesarias para la adopción del Plan de Expansión de Transmisión 2025–2039 elaborado por la UPME. En desarrollo de este proceso, se elaboró el proyecto de acto administrativo correspondiente y se surtieron las etapas de publicación para comentarios de la ciudadanía y los grupos de interés.</w:t>
      </w:r>
    </w:p>
    <w:p w:rsidRPr="00E1010D" w:rsidR="00EC529A" w:rsidP="001B547B" w:rsidRDefault="00EC529A" w14:paraId="45B3AA1D" w14:textId="77777777">
      <w:pPr>
        <w:pStyle w:val="paragraph"/>
        <w:spacing w:before="0" w:beforeAutospacing="0" w:after="0" w:afterAutospacing="0"/>
        <w:jc w:val="both"/>
        <w:rPr>
          <w:rFonts w:ascii="Work Sans" w:hAnsi="Work Sans" w:cs="Arial"/>
        </w:rPr>
      </w:pPr>
      <w:r w:rsidRPr="00E1010D">
        <w:rPr>
          <w:rStyle w:val="eop"/>
          <w:rFonts w:ascii="Work Sans" w:hAnsi="Work Sans" w:cs="Arial"/>
        </w:rPr>
        <w:t> </w:t>
      </w:r>
    </w:p>
    <w:p w:rsidRPr="00E1010D" w:rsidR="00EC529A" w:rsidP="001B547B" w:rsidRDefault="00922D2A" w14:paraId="189204A3" w14:textId="323FE11D">
      <w:pPr>
        <w:pStyle w:val="paragraph"/>
        <w:spacing w:before="0" w:beforeAutospacing="0" w:after="0" w:afterAutospacing="0"/>
        <w:jc w:val="both"/>
        <w:rPr>
          <w:rStyle w:val="eop"/>
          <w:rFonts w:ascii="Work Sans" w:hAnsi="Work Sans" w:cs="Arial"/>
        </w:rPr>
      </w:pPr>
      <w:r>
        <w:rPr>
          <w:rStyle w:val="normaltextrun"/>
          <w:rFonts w:ascii="Work Sans" w:hAnsi="Work Sans" w:cs="Arial"/>
          <w:lang w:val="es-ES"/>
        </w:rPr>
        <w:t>El</w:t>
      </w:r>
      <w:r w:rsidRPr="00E1010D" w:rsidR="00EC529A">
        <w:rPr>
          <w:rStyle w:val="normaltextrun"/>
          <w:rFonts w:ascii="Work Sans" w:hAnsi="Work Sans" w:cs="Arial"/>
          <w:lang w:val="es-ES"/>
        </w:rPr>
        <w:t xml:space="preserve"> Ministerio mantiene un trabajo permanente de seguimiento y articulación con las distintas entidades y empresas del sector energético, con el propósito de recibir y evaluar propuestas de ajuste a los planes de expansión. Dichas propuestas se consideran siempre que estén enmarcadas en la transición energética y contribuyan a fortalecer la estabilidad, seguridad y confiabilidad del sistema eléctrico nacional.</w:t>
      </w:r>
      <w:r w:rsidRPr="00E1010D" w:rsidR="00EC529A">
        <w:rPr>
          <w:rStyle w:val="eop"/>
          <w:rFonts w:ascii="Work Sans" w:hAnsi="Work Sans" w:cs="Arial"/>
        </w:rPr>
        <w:t> </w:t>
      </w:r>
    </w:p>
    <w:p w:rsidRPr="00E1010D" w:rsidR="00D259D9" w:rsidP="001B547B" w:rsidRDefault="00D259D9" w14:paraId="3FB1D732" w14:textId="77777777">
      <w:pPr>
        <w:pStyle w:val="paragraph"/>
        <w:spacing w:before="0" w:beforeAutospacing="0" w:after="0" w:afterAutospacing="0"/>
        <w:jc w:val="both"/>
        <w:textAlignment w:val="baseline"/>
        <w:rPr>
          <w:rStyle w:val="eop"/>
          <w:rFonts w:ascii="Work Sans" w:hAnsi="Work Sans" w:cs="Arial"/>
        </w:rPr>
      </w:pPr>
    </w:p>
    <w:p w:rsidRPr="00E1010D" w:rsidR="00EC529A" w:rsidP="00400EB1" w:rsidRDefault="00EC529A" w14:paraId="0F280E87" w14:textId="77777777">
      <w:pPr>
        <w:pStyle w:val="Heading4"/>
        <w:numPr>
          <w:ilvl w:val="5"/>
          <w:numId w:val="9"/>
        </w:numPr>
        <w:tabs>
          <w:tab w:val="num" w:pos="360"/>
        </w:tabs>
        <w:spacing w:before="0" w:after="0"/>
        <w:jc w:val="both"/>
        <w:rPr>
          <w:rFonts w:ascii="Work Sans" w:hAnsi="Work Sans" w:cs="Arial"/>
        </w:rPr>
      </w:pPr>
      <w:bookmarkStart w:name="_Toc223695495" w:id="5"/>
      <w:r w:rsidRPr="00E1010D">
        <w:rPr>
          <w:rFonts w:ascii="Work Sans" w:hAnsi="Work Sans" w:cs="Arial"/>
        </w:rPr>
        <w:t>Demanda No Atendida</w:t>
      </w:r>
      <w:bookmarkEnd w:id="5"/>
    </w:p>
    <w:p w:rsidRPr="00E1010D" w:rsidR="00EC529A" w:rsidP="001B547B" w:rsidRDefault="00EC529A" w14:paraId="0EC1FD7B" w14:textId="77777777">
      <w:pPr>
        <w:pStyle w:val="ListParagraph"/>
        <w:jc w:val="both"/>
        <w:rPr>
          <w:rFonts w:ascii="Work Sans" w:hAnsi="Work Sans" w:cs="Arial"/>
          <w:b/>
          <w:bCs/>
        </w:rPr>
      </w:pPr>
    </w:p>
    <w:p w:rsidRPr="00E1010D" w:rsidR="00EC529A" w:rsidP="001B547B" w:rsidRDefault="00EC529A" w14:paraId="43260025" w14:textId="77777777">
      <w:pPr>
        <w:pStyle w:val="paragraph"/>
        <w:spacing w:before="0" w:beforeAutospacing="0" w:after="0" w:afterAutospacing="0"/>
        <w:jc w:val="both"/>
        <w:textAlignment w:val="baseline"/>
        <w:rPr>
          <w:rFonts w:ascii="Work Sans" w:hAnsi="Work Sans" w:cs="Arial"/>
        </w:rPr>
      </w:pPr>
      <w:r w:rsidRPr="00E1010D">
        <w:rPr>
          <w:rStyle w:val="normaltextrun"/>
          <w:rFonts w:ascii="Work Sans" w:hAnsi="Work Sans" w:eastAsia="Arial" w:cs="Arial"/>
        </w:rPr>
        <w:t>La DNA de referencia es la presentada en el año 2019 en el Sistema Interconectado Nacional la cuál fue de 51.430 MWh. Sobre esta línea base se previó la reducción del 5% anual de la siguiente manera:</w:t>
      </w:r>
      <w:r w:rsidRPr="00E1010D">
        <w:rPr>
          <w:rStyle w:val="eop"/>
          <w:rFonts w:ascii="Work Sans" w:hAnsi="Work Sans" w:cs="Arial"/>
        </w:rPr>
        <w:t> </w:t>
      </w:r>
    </w:p>
    <w:p w:rsidRPr="00E1010D" w:rsidR="00EC529A" w:rsidP="001B547B" w:rsidRDefault="00EC529A" w14:paraId="23E06894" w14:textId="5F25A5BA">
      <w:pPr>
        <w:pStyle w:val="paragraph"/>
        <w:spacing w:before="0" w:beforeAutospacing="0" w:after="0" w:afterAutospacing="0"/>
        <w:jc w:val="both"/>
        <w:textAlignment w:val="baseline"/>
        <w:rPr>
          <w:rFonts w:ascii="Work Sans" w:hAnsi="Work Sans" w:cs="Arial"/>
        </w:rPr>
      </w:pPr>
      <w:r w:rsidRPr="00E1010D">
        <w:rPr>
          <w:rStyle w:val="eop"/>
          <w:rFonts w:ascii="Work Sans" w:hAnsi="Work Sans" w:cs="Arial"/>
        </w:rPr>
        <w:t> </w:t>
      </w:r>
    </w:p>
    <w:tbl>
      <w:tblPr>
        <w:tblW w:w="0" w:type="auto"/>
        <w:tblBorders>
          <w:top w:val="single" w:color="auto" w:sz="6" w:space="0"/>
          <w:left w:val="single" w:color="auto" w:sz="6" w:space="0"/>
          <w:bottom w:val="single" w:color="auto" w:sz="6" w:space="0"/>
          <w:right w:val="single" w:color="auto" w:sz="6" w:space="0"/>
        </w:tblBorders>
        <w:tblLayout w:type="fixed"/>
        <w:tblCellMar>
          <w:top w:w="160" w:type="dxa"/>
          <w:left w:w="160" w:type="dxa"/>
          <w:bottom w:w="160" w:type="dxa"/>
          <w:right w:w="160" w:type="dxa"/>
        </w:tblCellMar>
        <w:tblLook w:val="04A0" w:firstRow="1" w:lastRow="0" w:firstColumn="1" w:lastColumn="0" w:noHBand="0" w:noVBand="1"/>
      </w:tblPr>
      <w:tblGrid>
        <w:gridCol w:w="1552"/>
        <w:gridCol w:w="992"/>
        <w:gridCol w:w="1013"/>
        <w:gridCol w:w="1052"/>
        <w:gridCol w:w="1051"/>
        <w:gridCol w:w="1058"/>
        <w:gridCol w:w="1050"/>
        <w:gridCol w:w="1054"/>
      </w:tblGrid>
      <w:tr w:rsidRPr="009C02DE" w:rsidR="009C02DE" w:rsidTr="009C02DE" w14:paraId="2A5B6308" w14:textId="77777777">
        <w:trPr>
          <w:tblHeader/>
        </w:trPr>
        <w:tc>
          <w:tcPr>
            <w:tcW w:w="1552"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50CB2FC2" w14:textId="77777777">
            <w:pPr>
              <w:pStyle w:val="p1"/>
              <w:jc w:val="center"/>
              <w:rPr>
                <w:rFonts w:ascii="Work Sans" w:hAnsi="Work Sans"/>
                <w:b/>
                <w:bCs/>
                <w:sz w:val="18"/>
                <w:szCs w:val="18"/>
              </w:rPr>
            </w:pPr>
            <w:r w:rsidRPr="009C02DE">
              <w:rPr>
                <w:rFonts w:ascii="Work Sans" w:hAnsi="Work Sans"/>
                <w:b/>
                <w:bCs/>
                <w:sz w:val="18"/>
                <w:szCs w:val="18"/>
              </w:rPr>
              <w:t>Indicador</w:t>
            </w:r>
          </w:p>
        </w:tc>
        <w:tc>
          <w:tcPr>
            <w:tcW w:w="992"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1DF41798" w14:textId="77777777">
            <w:pPr>
              <w:pStyle w:val="p1"/>
              <w:jc w:val="center"/>
              <w:rPr>
                <w:rFonts w:ascii="Work Sans" w:hAnsi="Work Sans"/>
                <w:b/>
                <w:bCs/>
                <w:sz w:val="18"/>
                <w:szCs w:val="18"/>
              </w:rPr>
            </w:pPr>
            <w:r w:rsidRPr="009C02DE">
              <w:rPr>
                <w:rFonts w:ascii="Work Sans" w:hAnsi="Work Sans"/>
                <w:b/>
                <w:bCs/>
                <w:sz w:val="18"/>
                <w:szCs w:val="18"/>
              </w:rPr>
              <w:t>Unidad</w:t>
            </w:r>
          </w:p>
        </w:tc>
        <w:tc>
          <w:tcPr>
            <w:tcW w:w="1013"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3839EE32" w14:textId="77777777">
            <w:pPr>
              <w:pStyle w:val="p1"/>
              <w:jc w:val="center"/>
              <w:rPr>
                <w:rFonts w:ascii="Work Sans" w:hAnsi="Work Sans"/>
                <w:b/>
                <w:bCs/>
                <w:sz w:val="18"/>
                <w:szCs w:val="18"/>
              </w:rPr>
            </w:pPr>
            <w:r w:rsidRPr="009C02DE">
              <w:rPr>
                <w:rFonts w:ascii="Work Sans" w:hAnsi="Work Sans"/>
                <w:b/>
                <w:bCs/>
                <w:sz w:val="18"/>
                <w:szCs w:val="18"/>
              </w:rPr>
              <w:t>Línea Base 2021</w:t>
            </w:r>
          </w:p>
        </w:tc>
        <w:tc>
          <w:tcPr>
            <w:tcW w:w="1052"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2173D50C" w14:textId="77777777">
            <w:pPr>
              <w:pStyle w:val="p1"/>
              <w:jc w:val="center"/>
              <w:rPr>
                <w:rFonts w:ascii="Work Sans" w:hAnsi="Work Sans"/>
                <w:b/>
                <w:bCs/>
                <w:sz w:val="18"/>
                <w:szCs w:val="18"/>
              </w:rPr>
            </w:pPr>
            <w:r w:rsidRPr="009C02DE">
              <w:rPr>
                <w:rFonts w:ascii="Work Sans" w:hAnsi="Work Sans"/>
                <w:b/>
                <w:bCs/>
                <w:sz w:val="18"/>
                <w:szCs w:val="18"/>
              </w:rPr>
              <w:t>Meta 2022</w:t>
            </w:r>
          </w:p>
        </w:tc>
        <w:tc>
          <w:tcPr>
            <w:tcW w:w="1051"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73C101E0" w14:textId="77777777">
            <w:pPr>
              <w:pStyle w:val="p1"/>
              <w:jc w:val="center"/>
              <w:rPr>
                <w:rFonts w:ascii="Work Sans" w:hAnsi="Work Sans"/>
                <w:b/>
                <w:bCs/>
                <w:sz w:val="18"/>
                <w:szCs w:val="18"/>
              </w:rPr>
            </w:pPr>
            <w:r w:rsidRPr="009C02DE">
              <w:rPr>
                <w:rFonts w:ascii="Work Sans" w:hAnsi="Work Sans"/>
                <w:b/>
                <w:bCs/>
                <w:sz w:val="18"/>
                <w:szCs w:val="18"/>
              </w:rPr>
              <w:t>Meta 2023</w:t>
            </w:r>
          </w:p>
        </w:tc>
        <w:tc>
          <w:tcPr>
            <w:tcW w:w="105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4E71EA61" w14:textId="77777777">
            <w:pPr>
              <w:pStyle w:val="p1"/>
              <w:jc w:val="center"/>
              <w:rPr>
                <w:rFonts w:ascii="Work Sans" w:hAnsi="Work Sans"/>
                <w:b/>
                <w:bCs/>
                <w:sz w:val="18"/>
                <w:szCs w:val="18"/>
              </w:rPr>
            </w:pPr>
            <w:r w:rsidRPr="009C02DE">
              <w:rPr>
                <w:rFonts w:ascii="Work Sans" w:hAnsi="Work Sans"/>
                <w:b/>
                <w:bCs/>
                <w:sz w:val="18"/>
                <w:szCs w:val="18"/>
              </w:rPr>
              <w:t>Meta 2024</w:t>
            </w:r>
          </w:p>
        </w:tc>
        <w:tc>
          <w:tcPr>
            <w:tcW w:w="1050"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03397CC2" w14:textId="77777777">
            <w:pPr>
              <w:pStyle w:val="p1"/>
              <w:jc w:val="center"/>
              <w:rPr>
                <w:rFonts w:ascii="Work Sans" w:hAnsi="Work Sans"/>
                <w:b/>
                <w:bCs/>
                <w:sz w:val="18"/>
                <w:szCs w:val="18"/>
              </w:rPr>
            </w:pPr>
            <w:r w:rsidRPr="009C02DE">
              <w:rPr>
                <w:rFonts w:ascii="Work Sans" w:hAnsi="Work Sans"/>
                <w:b/>
                <w:bCs/>
                <w:sz w:val="18"/>
                <w:szCs w:val="18"/>
              </w:rPr>
              <w:t>Meta 2025</w:t>
            </w:r>
          </w:p>
        </w:tc>
        <w:tc>
          <w:tcPr>
            <w:tcW w:w="1054"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4F73D912" w14:textId="77777777">
            <w:pPr>
              <w:pStyle w:val="p1"/>
              <w:jc w:val="center"/>
              <w:rPr>
                <w:rFonts w:ascii="Work Sans" w:hAnsi="Work Sans"/>
                <w:b/>
                <w:bCs/>
                <w:sz w:val="18"/>
                <w:szCs w:val="18"/>
              </w:rPr>
            </w:pPr>
            <w:r w:rsidRPr="009C02DE">
              <w:rPr>
                <w:rFonts w:ascii="Work Sans" w:hAnsi="Work Sans"/>
                <w:b/>
                <w:bCs/>
                <w:sz w:val="18"/>
                <w:szCs w:val="18"/>
              </w:rPr>
              <w:t>Meta 2026</w:t>
            </w:r>
          </w:p>
        </w:tc>
      </w:tr>
      <w:tr w:rsidRPr="009C02DE" w:rsidR="009C02DE" w:rsidTr="009C02DE" w14:paraId="3F10EFA2" w14:textId="77777777">
        <w:tc>
          <w:tcPr>
            <w:tcW w:w="1552"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0EF2EC12" w14:textId="77777777">
            <w:pPr>
              <w:pStyle w:val="p1"/>
              <w:rPr>
                <w:rFonts w:ascii="Work Sans" w:hAnsi="Work Sans"/>
                <w:sz w:val="18"/>
                <w:szCs w:val="18"/>
              </w:rPr>
            </w:pPr>
            <w:r w:rsidRPr="009C02DE">
              <w:rPr>
                <w:rFonts w:ascii="Work Sans" w:hAnsi="Work Sans"/>
                <w:sz w:val="18"/>
                <w:szCs w:val="18"/>
              </w:rPr>
              <w:t>Demanda No Atendida (DNA)</w:t>
            </w:r>
          </w:p>
        </w:tc>
        <w:tc>
          <w:tcPr>
            <w:tcW w:w="992"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185730EE" w14:textId="77777777">
            <w:pPr>
              <w:pStyle w:val="p1"/>
              <w:rPr>
                <w:rFonts w:ascii="Work Sans" w:hAnsi="Work Sans"/>
                <w:sz w:val="18"/>
                <w:szCs w:val="18"/>
              </w:rPr>
            </w:pPr>
            <w:proofErr w:type="spellStart"/>
            <w:r w:rsidRPr="009C02DE">
              <w:rPr>
                <w:rFonts w:ascii="Work Sans" w:hAnsi="Work Sans"/>
                <w:sz w:val="18"/>
                <w:szCs w:val="18"/>
              </w:rPr>
              <w:t>MWh</w:t>
            </w:r>
            <w:proofErr w:type="spellEnd"/>
          </w:p>
        </w:tc>
        <w:tc>
          <w:tcPr>
            <w:tcW w:w="1013"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63FCCB63" w14:textId="77777777">
            <w:pPr>
              <w:pStyle w:val="p1"/>
              <w:rPr>
                <w:rFonts w:ascii="Work Sans" w:hAnsi="Work Sans"/>
                <w:sz w:val="18"/>
                <w:szCs w:val="18"/>
              </w:rPr>
            </w:pPr>
            <w:r w:rsidRPr="009C02DE">
              <w:rPr>
                <w:rFonts w:ascii="Work Sans" w:hAnsi="Work Sans"/>
                <w:sz w:val="18"/>
                <w:szCs w:val="18"/>
              </w:rPr>
              <w:t>48.859</w:t>
            </w:r>
          </w:p>
        </w:tc>
        <w:tc>
          <w:tcPr>
            <w:tcW w:w="1052"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74138641" w14:textId="77777777">
            <w:pPr>
              <w:pStyle w:val="p1"/>
              <w:rPr>
                <w:rFonts w:ascii="Work Sans" w:hAnsi="Work Sans"/>
                <w:sz w:val="18"/>
                <w:szCs w:val="18"/>
              </w:rPr>
            </w:pPr>
            <w:r w:rsidRPr="009C02DE">
              <w:rPr>
                <w:rFonts w:ascii="Work Sans" w:hAnsi="Work Sans"/>
                <w:sz w:val="18"/>
                <w:szCs w:val="18"/>
              </w:rPr>
              <w:t>46.416</w:t>
            </w:r>
          </w:p>
        </w:tc>
        <w:tc>
          <w:tcPr>
            <w:tcW w:w="1051"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2C125E08" w14:textId="77777777">
            <w:pPr>
              <w:pStyle w:val="p1"/>
              <w:rPr>
                <w:rFonts w:ascii="Work Sans" w:hAnsi="Work Sans"/>
                <w:sz w:val="18"/>
                <w:szCs w:val="18"/>
              </w:rPr>
            </w:pPr>
            <w:r w:rsidRPr="009C02DE">
              <w:rPr>
                <w:rFonts w:ascii="Work Sans" w:hAnsi="Work Sans"/>
                <w:sz w:val="18"/>
                <w:szCs w:val="18"/>
              </w:rPr>
              <w:t>44.095</w:t>
            </w:r>
          </w:p>
        </w:tc>
        <w:tc>
          <w:tcPr>
            <w:tcW w:w="1058"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57AE1A78" w14:textId="77777777">
            <w:pPr>
              <w:pStyle w:val="p1"/>
              <w:rPr>
                <w:rFonts w:ascii="Work Sans" w:hAnsi="Work Sans"/>
                <w:sz w:val="18"/>
                <w:szCs w:val="18"/>
              </w:rPr>
            </w:pPr>
            <w:r w:rsidRPr="009C02DE">
              <w:rPr>
                <w:rFonts w:ascii="Work Sans" w:hAnsi="Work Sans"/>
                <w:sz w:val="18"/>
                <w:szCs w:val="18"/>
              </w:rPr>
              <w:t>41.850</w:t>
            </w:r>
          </w:p>
        </w:tc>
        <w:tc>
          <w:tcPr>
            <w:tcW w:w="1050"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4D3A44F6" w14:textId="77777777">
            <w:pPr>
              <w:pStyle w:val="p1"/>
              <w:rPr>
                <w:rFonts w:ascii="Work Sans" w:hAnsi="Work Sans"/>
                <w:sz w:val="18"/>
                <w:szCs w:val="18"/>
              </w:rPr>
            </w:pPr>
            <w:r w:rsidRPr="009C02DE">
              <w:rPr>
                <w:rFonts w:ascii="Work Sans" w:hAnsi="Work Sans"/>
                <w:sz w:val="18"/>
                <w:szCs w:val="18"/>
              </w:rPr>
              <w:t>39.796</w:t>
            </w:r>
          </w:p>
        </w:tc>
        <w:tc>
          <w:tcPr>
            <w:tcW w:w="1054"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9C02DE" w:rsidR="009C02DE" w:rsidRDefault="009C02DE" w14:paraId="4F746343" w14:textId="77777777">
            <w:pPr>
              <w:pStyle w:val="p1"/>
              <w:rPr>
                <w:rFonts w:ascii="Work Sans" w:hAnsi="Work Sans"/>
                <w:sz w:val="18"/>
                <w:szCs w:val="18"/>
              </w:rPr>
            </w:pPr>
            <w:r w:rsidRPr="009C02DE">
              <w:rPr>
                <w:rFonts w:ascii="Work Sans" w:hAnsi="Work Sans"/>
                <w:sz w:val="18"/>
                <w:szCs w:val="18"/>
              </w:rPr>
              <w:t>37.806</w:t>
            </w:r>
          </w:p>
        </w:tc>
      </w:tr>
    </w:tbl>
    <w:p w:rsidRPr="00E1010D" w:rsidR="00EC529A" w:rsidP="005A4E7F" w:rsidRDefault="00EC529A" w14:paraId="44253F01" w14:textId="5AAC5392">
      <w:pPr>
        <w:pStyle w:val="paragraph"/>
        <w:spacing w:before="0" w:beforeAutospacing="0" w:after="0" w:afterAutospacing="0"/>
        <w:jc w:val="both"/>
        <w:textAlignment w:val="baseline"/>
        <w:rPr>
          <w:rFonts w:ascii="Work Sans" w:hAnsi="Work Sans" w:cs="Arial"/>
        </w:rPr>
      </w:pPr>
    </w:p>
    <w:p w:rsidR="00755135" w:rsidP="00B917FE" w:rsidRDefault="00755135" w14:paraId="15CBFCCE" w14:textId="38DE5B4F">
      <w:pPr>
        <w:pStyle w:val="paragraph"/>
        <w:spacing w:before="0" w:beforeAutospacing="0" w:after="0" w:afterAutospacing="0"/>
        <w:jc w:val="both"/>
        <w:textAlignment w:val="baseline"/>
        <w:rPr>
          <w:rStyle w:val="normaltextrun"/>
          <w:rFonts w:ascii="Work Sans" w:hAnsi="Work Sans" w:cs="Arial"/>
        </w:rPr>
      </w:pPr>
      <w:r>
        <w:rPr>
          <w:rStyle w:val="normaltextrun"/>
          <w:rFonts w:ascii="Work Sans" w:hAnsi="Work Sans" w:cs="Arial"/>
        </w:rPr>
        <w:t>Con respecto a 2026, si bien no se cuenta con un panorama completo</w:t>
      </w:r>
      <w:r w:rsidR="00013EC2">
        <w:rPr>
          <w:rStyle w:val="normaltextrun"/>
          <w:rFonts w:ascii="Work Sans" w:hAnsi="Work Sans" w:cs="Arial"/>
        </w:rPr>
        <w:t xml:space="preserve">, a corte de mayo de 2026 se cuenta con una DNA de </w:t>
      </w:r>
      <w:r w:rsidR="0024605F">
        <w:rPr>
          <w:rStyle w:val="normaltextrun"/>
          <w:rFonts w:ascii="Work Sans" w:hAnsi="Work Sans" w:cs="Arial"/>
        </w:rPr>
        <w:t xml:space="preserve">26.262,27 </w:t>
      </w:r>
      <w:proofErr w:type="spellStart"/>
      <w:r w:rsidR="0024605F">
        <w:rPr>
          <w:rStyle w:val="normaltextrun"/>
          <w:rFonts w:ascii="Work Sans" w:hAnsi="Work Sans" w:cs="Arial"/>
        </w:rPr>
        <w:t>MWh</w:t>
      </w:r>
      <w:proofErr w:type="spellEnd"/>
      <w:r w:rsidR="0024605F">
        <w:rPr>
          <w:rStyle w:val="normaltextrun"/>
          <w:rFonts w:ascii="Work Sans" w:hAnsi="Work Sans" w:cs="Arial"/>
        </w:rPr>
        <w:t>.</w:t>
      </w:r>
    </w:p>
    <w:p w:rsidR="0024605F" w:rsidP="00B917FE" w:rsidRDefault="0024605F" w14:paraId="4F2F4323" w14:textId="77777777">
      <w:pPr>
        <w:pStyle w:val="paragraph"/>
        <w:spacing w:before="0" w:beforeAutospacing="0" w:after="0" w:afterAutospacing="0"/>
        <w:jc w:val="both"/>
        <w:textAlignment w:val="baseline"/>
        <w:rPr>
          <w:rStyle w:val="normaltextrun"/>
          <w:rFonts w:ascii="Work Sans" w:hAnsi="Work Sans" w:cs="Arial"/>
        </w:rPr>
      </w:pPr>
    </w:p>
    <w:p w:rsidR="0024605F" w:rsidP="00B917FE" w:rsidRDefault="00887DF4" w14:paraId="2CF1769B" w14:textId="0330B49F">
      <w:pPr>
        <w:pStyle w:val="paragraph"/>
        <w:spacing w:before="0" w:beforeAutospacing="0" w:after="0" w:afterAutospacing="0"/>
        <w:jc w:val="both"/>
        <w:textAlignment w:val="baseline"/>
        <w:rPr>
          <w:rStyle w:val="normaltextrun"/>
          <w:rFonts w:ascii="Work Sans" w:hAnsi="Work Sans" w:cs="Arial"/>
        </w:rPr>
      </w:pPr>
      <w:r w:rsidRPr="00887DF4">
        <w:rPr>
          <w:rStyle w:val="normaltextrun"/>
          <w:rFonts w:ascii="Work Sans" w:hAnsi="Work Sans" w:cs="Arial"/>
          <w:noProof/>
        </w:rPr>
        <w:drawing>
          <wp:inline distT="0" distB="0" distL="0" distR="0" wp14:anchorId="7E8DDF65" wp14:editId="5F696085">
            <wp:extent cx="5612130" cy="2522220"/>
            <wp:effectExtent l="0" t="0" r="762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12130" cy="2522220"/>
                    </a:xfrm>
                    <a:prstGeom prst="rect">
                      <a:avLst/>
                    </a:prstGeom>
                  </pic:spPr>
                </pic:pic>
              </a:graphicData>
            </a:graphic>
          </wp:inline>
        </w:drawing>
      </w:r>
    </w:p>
    <w:p w:rsidR="009C5D1A" w:rsidP="00B917FE" w:rsidRDefault="009C5D1A" w14:paraId="2948948B" w14:textId="77777777">
      <w:pPr>
        <w:pStyle w:val="paragraph"/>
        <w:spacing w:before="0" w:beforeAutospacing="0" w:after="0" w:afterAutospacing="0"/>
        <w:jc w:val="both"/>
        <w:textAlignment w:val="baseline"/>
        <w:rPr>
          <w:rStyle w:val="normaltextrun"/>
          <w:rFonts w:ascii="Work Sans" w:hAnsi="Work Sans" w:cs="Arial"/>
        </w:rPr>
      </w:pPr>
    </w:p>
    <w:p w:rsidR="001F639C" w:rsidP="00B917FE" w:rsidRDefault="001F639C" w14:paraId="4AECF46F" w14:textId="38D2D06E">
      <w:pPr>
        <w:pStyle w:val="paragraph"/>
        <w:spacing w:before="0" w:beforeAutospacing="0" w:after="0" w:afterAutospacing="0"/>
        <w:jc w:val="both"/>
        <w:textAlignment w:val="baseline"/>
        <w:rPr>
          <w:rFonts w:ascii="Work Sans" w:hAnsi="Work Sans" w:cs="Arial"/>
        </w:rPr>
      </w:pPr>
      <w:r w:rsidRPr="001F639C">
        <w:rPr>
          <w:rFonts w:ascii="Work Sans" w:hAnsi="Work Sans" w:cs="Arial"/>
        </w:rPr>
        <w:t xml:space="preserve">Al realizar un análisis mensual de la Demanda No Atendida (DNA), se observa que a partir de marzo de 2026 se presenta un incremento significativo de este indicador. Este comportamiento </w:t>
      </w:r>
      <w:r w:rsidRPr="001F639C" w:rsidR="001D1418">
        <w:rPr>
          <w:rFonts w:ascii="Work Sans" w:hAnsi="Work Sans" w:cs="Arial"/>
        </w:rPr>
        <w:t>este asociado</w:t>
      </w:r>
      <w:r w:rsidRPr="001F639C">
        <w:rPr>
          <w:rFonts w:ascii="Work Sans" w:hAnsi="Work Sans" w:cs="Arial"/>
        </w:rPr>
        <w:t>, entre otros factores, a condiciones climáticas que han generado aumentos de temperatura en diversas regiones del país durante el periodo analizado.</w:t>
      </w:r>
    </w:p>
    <w:p w:rsidR="008C224A" w:rsidP="00B917FE" w:rsidRDefault="008C224A" w14:paraId="1F7FFF1D" w14:textId="77777777">
      <w:pPr>
        <w:pStyle w:val="paragraph"/>
        <w:spacing w:before="0" w:beforeAutospacing="0" w:after="0" w:afterAutospacing="0"/>
        <w:jc w:val="both"/>
        <w:textAlignment w:val="baseline"/>
        <w:rPr>
          <w:rStyle w:val="normaltextrun"/>
          <w:rFonts w:ascii="Work Sans" w:hAnsi="Work Sans" w:cs="Arial"/>
        </w:rPr>
      </w:pPr>
    </w:p>
    <w:p w:rsidR="00AE5C78" w:rsidP="00AE5C78" w:rsidRDefault="00AE5C78" w14:paraId="3D402F07" w14:textId="77777777">
      <w:pPr>
        <w:pStyle w:val="paragraph"/>
        <w:spacing w:before="0" w:beforeAutospacing="0" w:after="0" w:afterAutospacing="0"/>
        <w:jc w:val="both"/>
        <w:textAlignment w:val="baseline"/>
        <w:rPr>
          <w:rFonts w:ascii="Work Sans" w:hAnsi="Work Sans" w:cs="Arial"/>
        </w:rPr>
      </w:pPr>
      <w:r w:rsidRPr="00AE5C78">
        <w:rPr>
          <w:rFonts w:ascii="Work Sans" w:hAnsi="Work Sans" w:cs="Arial"/>
        </w:rPr>
        <w:t>Las temperaturas elevadas suelen traducirse en un mayor consumo de energía eléctrica por parte de los usuarios, particularmente debido al incremento en el uso de sistemas de ventilación, aire acondicionado y refrigeración. Como consecuencia, se presentan mayores exigencias operativas sobre la infraestructura eléctrica y sobre la capacidad disponible del sistema, especialmente durante los periodos de máxima demanda. En determinados escenarios, estas condiciones pueden incrementar la probabilidad de restricciones operativas o eventos que impacten la continuidad del suministro, contribuyendo al aumento de la Demanda No Atendida.</w:t>
      </w:r>
    </w:p>
    <w:p w:rsidRPr="00AE5C78" w:rsidR="00AE5C78" w:rsidP="00AE5C78" w:rsidRDefault="00AE5C78" w14:paraId="5A9FA870" w14:textId="77777777">
      <w:pPr>
        <w:pStyle w:val="paragraph"/>
        <w:spacing w:before="0" w:beforeAutospacing="0" w:after="0" w:afterAutospacing="0"/>
        <w:jc w:val="both"/>
        <w:textAlignment w:val="baseline"/>
        <w:rPr>
          <w:rFonts w:ascii="Work Sans" w:hAnsi="Work Sans" w:cs="Arial"/>
        </w:rPr>
      </w:pPr>
    </w:p>
    <w:p w:rsidRPr="00AE5C78" w:rsidR="00AE5C78" w:rsidP="00AE5C78" w:rsidRDefault="00AE5C78" w14:paraId="6258E4DA" w14:textId="5B467145">
      <w:pPr>
        <w:pStyle w:val="paragraph"/>
        <w:spacing w:before="0" w:beforeAutospacing="0" w:after="0" w:afterAutospacing="0"/>
        <w:jc w:val="both"/>
        <w:textAlignment w:val="baseline"/>
        <w:rPr>
          <w:rFonts w:ascii="Work Sans" w:hAnsi="Work Sans" w:cs="Arial"/>
        </w:rPr>
      </w:pPr>
      <w:r w:rsidRPr="00AE5C78">
        <w:rPr>
          <w:rFonts w:ascii="Work Sans" w:hAnsi="Work Sans" w:cs="Arial"/>
        </w:rPr>
        <w:t>En este sentido, los registros observados durante la vigencia 2026 sugieren una correlación entre los incrementos de temperatura registrados en algunas regiones del país y el comportamiento de la DNA, evidenciando la influencia que los factores climáticos pueden ejercer sobre la operación del sistema eléctrico nacional.</w:t>
      </w:r>
      <w:r>
        <w:rPr>
          <w:rFonts w:ascii="Work Sans" w:hAnsi="Work Sans" w:cs="Arial"/>
        </w:rPr>
        <w:t xml:space="preserve"> Esta afirmación cobra fuerza teniendo en cuenta que la DNA no programada es</w:t>
      </w:r>
      <w:r w:rsidR="005E5735">
        <w:rPr>
          <w:rFonts w:ascii="Work Sans" w:hAnsi="Work Sans" w:cs="Arial"/>
        </w:rPr>
        <w:t xml:space="preserve"> la que mayor porcentaje de participación tiene, con respecto a la DNA total.</w:t>
      </w:r>
    </w:p>
    <w:p w:rsidR="001D1418" w:rsidP="00B917FE" w:rsidRDefault="001D1418" w14:paraId="682DA47B" w14:textId="77777777">
      <w:pPr>
        <w:pStyle w:val="paragraph"/>
        <w:spacing w:before="0" w:beforeAutospacing="0" w:after="0" w:afterAutospacing="0"/>
        <w:jc w:val="both"/>
        <w:textAlignment w:val="baseline"/>
        <w:rPr>
          <w:rStyle w:val="normaltextrun"/>
          <w:rFonts w:ascii="Work Sans" w:hAnsi="Work Sans" w:cs="Arial"/>
        </w:rPr>
      </w:pPr>
    </w:p>
    <w:p w:rsidR="00AE5C78" w:rsidP="005E5735" w:rsidRDefault="00AE5C78" w14:paraId="7AB3C5C6" w14:textId="1D22C58A">
      <w:pPr>
        <w:pStyle w:val="paragraph"/>
        <w:spacing w:before="0" w:beforeAutospacing="0" w:after="0" w:afterAutospacing="0"/>
        <w:jc w:val="center"/>
        <w:textAlignment w:val="baseline"/>
        <w:rPr>
          <w:rStyle w:val="normaltextrun"/>
          <w:rFonts w:ascii="Work Sans" w:hAnsi="Work Sans" w:cs="Arial"/>
        </w:rPr>
      </w:pPr>
      <w:r>
        <w:rPr>
          <w:noProof/>
          <w14:ligatures w14:val="standardContextual"/>
        </w:rPr>
        <w:drawing>
          <wp:inline distT="0" distB="0" distL="0" distR="0" wp14:anchorId="5A00EF9C" wp14:editId="3F5C6932">
            <wp:extent cx="2867025" cy="2870791"/>
            <wp:effectExtent l="0" t="0" r="9525" b="6350"/>
            <wp:docPr id="6" name="Gráfico 6">
              <a:extLst xmlns:a="http://schemas.openxmlformats.org/drawingml/2006/main">
                <a:ext uri="{FF2B5EF4-FFF2-40B4-BE49-F238E27FC236}">
                  <a16:creationId xmlns:a16="http://schemas.microsoft.com/office/drawing/2014/main" id="{12CDEFAD-6799-42A0-B3AD-3691EA5F7CC8}"/>
                </a:ext>
                <a:ext uri="{147F2762-F138-4A5C-976F-8EAC2B608ADB}">
                  <a16:predDERef xmlns:a16="http://schemas.microsoft.com/office/drawing/2014/main" pred="{4640D6CA-A49B-7D47-AEB9-D65C40DC2B7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243A29" w:rsidP="00B917FE" w:rsidRDefault="00243A29" w14:paraId="27790E09" w14:textId="77777777">
      <w:pPr>
        <w:pStyle w:val="paragraph"/>
        <w:spacing w:before="0" w:beforeAutospacing="0" w:after="0" w:afterAutospacing="0"/>
        <w:jc w:val="both"/>
        <w:textAlignment w:val="baseline"/>
        <w:rPr>
          <w:rFonts w:ascii="Work Sans" w:hAnsi="Work Sans" w:cs="Arial"/>
        </w:rPr>
      </w:pPr>
    </w:p>
    <w:p w:rsidR="007B6F0A" w:rsidP="007B6F0A" w:rsidRDefault="00FB0DBB" w14:paraId="095E9E09" w14:textId="6766CAA3">
      <w:pPr>
        <w:pStyle w:val="paragraph"/>
        <w:spacing w:before="0" w:beforeAutospacing="0" w:after="0" w:afterAutospacing="0"/>
        <w:jc w:val="both"/>
        <w:textAlignment w:val="baseline"/>
        <w:rPr>
          <w:rFonts w:ascii="Work Sans" w:hAnsi="Work Sans" w:cs="Arial"/>
        </w:rPr>
      </w:pPr>
      <w:r>
        <w:rPr>
          <w:rFonts w:ascii="Work Sans" w:hAnsi="Work Sans" w:cs="Arial"/>
        </w:rPr>
        <w:t>D</w:t>
      </w:r>
      <w:r w:rsidRPr="007B6F0A" w:rsidR="007B6F0A">
        <w:rPr>
          <w:rFonts w:ascii="Work Sans" w:hAnsi="Work Sans" w:cs="Arial"/>
        </w:rPr>
        <w:t>ebe considerarse que el crecimiento sostenido de la demanda nacional, la incorporación de nuevos usuarios, la expansión del Sistema Interconectado Nacional (SIN) y la entrada progresiva de Fuentes No Convencionales de Energía Renovable (FNCER) han transformado de manera significativa la dinámica operativa del sistema eléctrico. Si bien este proceso representa un avance estructural para el sector, también incrementa la complejidad técnica asociada a la gestión de la confiabilidad y la seguridad del suministro, al introducir nuevas exigencias sobre la infraestructura de generación, transmisión y distribución.</w:t>
      </w:r>
    </w:p>
    <w:p w:rsidRPr="007B6F0A" w:rsidR="007B6F0A" w:rsidP="007B6F0A" w:rsidRDefault="007B6F0A" w14:paraId="400F2464" w14:textId="77777777">
      <w:pPr>
        <w:pStyle w:val="paragraph"/>
        <w:spacing w:before="0" w:beforeAutospacing="0" w:after="0" w:afterAutospacing="0"/>
        <w:jc w:val="both"/>
        <w:textAlignment w:val="baseline"/>
        <w:rPr>
          <w:rFonts w:ascii="Work Sans" w:hAnsi="Work Sans" w:cs="Arial"/>
        </w:rPr>
      </w:pPr>
    </w:p>
    <w:p w:rsidR="007B6F0A" w:rsidP="007B6F0A" w:rsidRDefault="007B6F0A" w14:paraId="0DE16257" w14:textId="77777777">
      <w:pPr>
        <w:pStyle w:val="paragraph"/>
        <w:spacing w:before="0" w:beforeAutospacing="0" w:after="0" w:afterAutospacing="0"/>
        <w:jc w:val="both"/>
        <w:textAlignment w:val="baseline"/>
        <w:rPr>
          <w:rFonts w:ascii="Work Sans" w:hAnsi="Work Sans" w:cs="Arial"/>
        </w:rPr>
      </w:pPr>
      <w:r w:rsidRPr="007B6F0A">
        <w:rPr>
          <w:rFonts w:ascii="Work Sans" w:hAnsi="Work Sans" w:cs="Arial"/>
        </w:rPr>
        <w:t>En este contexto, la reducción de la Demanda No Atendida frente a una línea base histórica resulta progresivamente más desafiante, dado que el sistema actual opera bajo condiciones de demanda, cobertura y complejidad significativamente superiores a las existentes al momento de la definición de dicha referencia.</w:t>
      </w:r>
    </w:p>
    <w:p w:rsidRPr="007B6F0A" w:rsidR="007B6F0A" w:rsidP="007B6F0A" w:rsidRDefault="007B6F0A" w14:paraId="6DA18BD0" w14:textId="77777777">
      <w:pPr>
        <w:pStyle w:val="paragraph"/>
        <w:spacing w:before="0" w:beforeAutospacing="0" w:after="0" w:afterAutospacing="0"/>
        <w:jc w:val="both"/>
        <w:textAlignment w:val="baseline"/>
        <w:rPr>
          <w:rFonts w:ascii="Work Sans" w:hAnsi="Work Sans" w:cs="Arial"/>
        </w:rPr>
      </w:pPr>
    </w:p>
    <w:p w:rsidRPr="00D03E73" w:rsidR="00F80C0B" w:rsidP="00D03E73" w:rsidRDefault="007B6F0A" w14:paraId="06D7F54F" w14:textId="3BD4CB3A">
      <w:pPr>
        <w:pStyle w:val="paragraph"/>
        <w:spacing w:before="0" w:beforeAutospacing="0" w:after="0" w:afterAutospacing="0"/>
        <w:jc w:val="both"/>
        <w:textAlignment w:val="baseline"/>
        <w:rPr>
          <w:rFonts w:ascii="Work Sans" w:hAnsi="Work Sans" w:cs="Arial"/>
        </w:rPr>
      </w:pPr>
      <w:r w:rsidRPr="007B6F0A">
        <w:rPr>
          <w:rFonts w:ascii="Work Sans" w:hAnsi="Work Sans" w:cs="Arial"/>
        </w:rPr>
        <w:t>Las acciones desarrolladas en el marco de los programas y estrategias de seguimiento sectorial han contribuido a mitigar riesgos operativos y a preservar niveles adecuados de confiabilidad del sistema. Sin embargo, factores estructurales como el crecimiento de la demanda, la expansión de la infraestructura eléctrica, la integración de nuevas tecnologías de generación y la influencia de variables climáticas continúan representando retos relevantes para el cumplimiento integral de las metas asociadas a este indicador.</w:t>
      </w:r>
    </w:p>
    <w:p w:rsidRPr="00E1010D" w:rsidR="00360D1F" w:rsidP="001B547B" w:rsidRDefault="00360D1F" w14:paraId="33FEDE4F" w14:textId="77777777">
      <w:pPr>
        <w:spacing w:line="259" w:lineRule="auto"/>
        <w:jc w:val="both"/>
        <w:rPr>
          <w:rFonts w:ascii="Work Sans" w:hAnsi="Work Sans" w:cs="Arial"/>
          <w:b/>
          <w:bCs/>
        </w:rPr>
      </w:pPr>
    </w:p>
    <w:p w:rsidRPr="006C30A6" w:rsidR="00D259D9" w:rsidP="006C30A6" w:rsidRDefault="00D259D9" w14:paraId="22DFBD52" w14:textId="77777777">
      <w:pPr>
        <w:spacing w:line="259" w:lineRule="auto"/>
        <w:jc w:val="both"/>
        <w:rPr>
          <w:rFonts w:ascii="Work Sans" w:hAnsi="Work Sans" w:cs="Arial"/>
          <w:b/>
          <w:bCs/>
        </w:rPr>
      </w:pPr>
    </w:p>
    <w:p w:rsidRPr="00E37D33" w:rsidR="00C34DFB" w:rsidP="00942547" w:rsidRDefault="00C34DFB" w14:paraId="28DFF7A1" w14:textId="0F589034">
      <w:pPr>
        <w:pStyle w:val="Heading3"/>
        <w:numPr>
          <w:ilvl w:val="4"/>
          <w:numId w:val="9"/>
        </w:numPr>
        <w:tabs>
          <w:tab w:val="num" w:pos="360"/>
        </w:tabs>
        <w:spacing w:before="0" w:after="0"/>
        <w:jc w:val="both"/>
        <w:rPr>
          <w:rFonts w:ascii="Work Sans" w:hAnsi="Work Sans" w:cs="Arial"/>
          <w:sz w:val="24"/>
          <w:szCs w:val="24"/>
        </w:rPr>
      </w:pPr>
      <w:r w:rsidRPr="00E37D33">
        <w:rPr>
          <w:rFonts w:ascii="Work Sans" w:hAnsi="Work Sans" w:cs="Arial"/>
          <w:sz w:val="24"/>
          <w:szCs w:val="24"/>
        </w:rPr>
        <w:t>MONITOREO DEL SECTOR</w:t>
      </w:r>
    </w:p>
    <w:p w:rsidRPr="00E37D33" w:rsidR="00C75528" w:rsidP="001B547B" w:rsidRDefault="00C75528" w14:paraId="02B938F3" w14:textId="77777777">
      <w:pPr>
        <w:spacing w:line="259" w:lineRule="auto"/>
        <w:jc w:val="both"/>
        <w:rPr>
          <w:rFonts w:ascii="Work Sans" w:hAnsi="Work Sans" w:cs="Arial"/>
          <w:b/>
          <w:bCs/>
        </w:rPr>
      </w:pPr>
    </w:p>
    <w:p w:rsidRPr="00E37D33" w:rsidR="00B6139C" w:rsidP="00942547" w:rsidRDefault="00B6139C" w14:paraId="2F24D01B" w14:textId="77777777">
      <w:pPr>
        <w:pStyle w:val="Heading3"/>
        <w:numPr>
          <w:ilvl w:val="5"/>
          <w:numId w:val="9"/>
        </w:numPr>
        <w:tabs>
          <w:tab w:val="num" w:pos="360"/>
        </w:tabs>
        <w:spacing w:before="0" w:after="0"/>
        <w:jc w:val="both"/>
        <w:rPr>
          <w:rFonts w:ascii="Work Sans" w:hAnsi="Work Sans" w:cs="Arial"/>
          <w:sz w:val="24"/>
          <w:szCs w:val="24"/>
        </w:rPr>
      </w:pPr>
      <w:r w:rsidRPr="00E37D33">
        <w:rPr>
          <w:rFonts w:ascii="Work Sans" w:hAnsi="Work Sans" w:cs="Arial"/>
          <w:sz w:val="24"/>
          <w:szCs w:val="24"/>
        </w:rPr>
        <w:t>Preparación del sector energético frente al posible Fenómeno de El Niño 2026-2027</w:t>
      </w:r>
    </w:p>
    <w:p w:rsidRPr="00E37D33" w:rsidR="007E385C" w:rsidP="001B547B" w:rsidRDefault="007E385C" w14:paraId="73F8AC34" w14:textId="77777777">
      <w:pPr>
        <w:pStyle w:val="p2"/>
        <w:spacing w:before="0" w:beforeAutospacing="0" w:after="0" w:afterAutospacing="0"/>
        <w:jc w:val="both"/>
        <w:rPr>
          <w:rFonts w:ascii="Work Sans" w:hAnsi="Work Sans"/>
        </w:rPr>
      </w:pPr>
    </w:p>
    <w:p w:rsidR="00B6139C" w:rsidP="001B547B" w:rsidRDefault="00B6139C" w14:paraId="32505AE6" w14:textId="138EB6D0">
      <w:pPr>
        <w:pStyle w:val="p2"/>
        <w:spacing w:before="0" w:beforeAutospacing="0" w:after="0" w:afterAutospacing="0"/>
        <w:jc w:val="both"/>
        <w:rPr>
          <w:rFonts w:ascii="Work Sans" w:hAnsi="Work Sans"/>
        </w:rPr>
      </w:pPr>
      <w:r w:rsidRPr="00E37D33">
        <w:rPr>
          <w:rFonts w:ascii="Work Sans" w:hAnsi="Work Sans"/>
        </w:rPr>
        <w:t xml:space="preserve">Ante las señales climáticas observadas durante el primer semestre de 2026 y los pronósticos que advertían la posible ocurrencia de un Fenómeno de El Niño durante el periodo 2026-2027, </w:t>
      </w:r>
      <w:r w:rsidRPr="00D858CD" w:rsidR="00E30F48">
        <w:rPr>
          <w:rFonts w:ascii="Work Sans" w:hAnsi="Work Sans"/>
        </w:rPr>
        <w:t xml:space="preserve">el Viceministerio solicitó </w:t>
      </w:r>
      <w:r w:rsidR="00E30F48">
        <w:rPr>
          <w:rFonts w:ascii="Work Sans" w:hAnsi="Work Sans"/>
        </w:rPr>
        <w:t>a</w:t>
      </w:r>
      <w:r w:rsidRPr="00E37D33">
        <w:rPr>
          <w:rFonts w:ascii="Work Sans" w:hAnsi="Work Sans"/>
        </w:rPr>
        <w:t>l Grupo de Gestión del Sector Eléctrico Colombiano</w:t>
      </w:r>
      <w:r w:rsidR="00E30F48">
        <w:rPr>
          <w:rFonts w:ascii="Work Sans" w:hAnsi="Work Sans"/>
        </w:rPr>
        <w:t xml:space="preserve"> apoyo para</w:t>
      </w:r>
      <w:r w:rsidRPr="00E37D33">
        <w:rPr>
          <w:rFonts w:ascii="Work Sans" w:hAnsi="Work Sans"/>
        </w:rPr>
        <w:t xml:space="preserve"> desarroll</w:t>
      </w:r>
      <w:r w:rsidR="00E30F48">
        <w:rPr>
          <w:rFonts w:ascii="Work Sans" w:hAnsi="Work Sans"/>
        </w:rPr>
        <w:t>ar</w:t>
      </w:r>
      <w:r w:rsidRPr="00E37D33">
        <w:rPr>
          <w:rFonts w:ascii="Work Sans" w:hAnsi="Work Sans"/>
        </w:rPr>
        <w:t xml:space="preserve"> actividades de seguimiento técnico, análisis de riesgos e identificación de posibles impactos sobre la confiabilidad y suficiencia energética del país. Estas actividades estuvieron orientadas a apoyar la toma de decisiones institucionales y a fortalecer el seguimiento a las medidas preventivas que venían siendo implementadas por las diferentes entidades y agentes del sector energético.</w:t>
      </w:r>
    </w:p>
    <w:p w:rsidR="00E06065" w:rsidP="001B547B" w:rsidRDefault="00E06065" w14:paraId="7BAB5ACB" w14:textId="77777777">
      <w:pPr>
        <w:pStyle w:val="p2"/>
        <w:spacing w:before="0" w:beforeAutospacing="0" w:after="0" w:afterAutospacing="0"/>
        <w:jc w:val="both"/>
        <w:rPr>
          <w:rFonts w:ascii="Work Sans" w:hAnsi="Work Sans"/>
        </w:rPr>
      </w:pPr>
    </w:p>
    <w:p w:rsidRPr="00E37D33" w:rsidR="00E06065" w:rsidP="001B547B" w:rsidRDefault="00E06065" w14:paraId="2BB27203" w14:textId="2C45EC63">
      <w:pPr>
        <w:pStyle w:val="p2"/>
        <w:spacing w:before="0" w:beforeAutospacing="0" w:after="0" w:afterAutospacing="0"/>
        <w:jc w:val="both"/>
        <w:rPr>
          <w:rFonts w:ascii="Work Sans" w:hAnsi="Work Sans"/>
        </w:rPr>
      </w:pPr>
      <w:r>
        <w:rPr>
          <w:rFonts w:ascii="Work Sans" w:hAnsi="Work Sans"/>
        </w:rPr>
        <w:t xml:space="preserve">Al respecto el Grupo </w:t>
      </w:r>
      <w:r w:rsidR="00AE157D">
        <w:rPr>
          <w:rFonts w:ascii="Work Sans" w:hAnsi="Work Sans"/>
        </w:rPr>
        <w:t>está</w:t>
      </w:r>
      <w:r>
        <w:rPr>
          <w:rFonts w:ascii="Work Sans" w:hAnsi="Work Sans"/>
        </w:rPr>
        <w:t xml:space="preserve"> participando en las sesiones </w:t>
      </w:r>
      <w:r w:rsidR="00AE157D">
        <w:rPr>
          <w:rFonts w:ascii="Work Sans" w:hAnsi="Work Sans"/>
        </w:rPr>
        <w:t xml:space="preserve">que se están llevando a cabo </w:t>
      </w:r>
      <w:r>
        <w:rPr>
          <w:rFonts w:ascii="Work Sans" w:hAnsi="Work Sans"/>
        </w:rPr>
        <w:t xml:space="preserve">de la </w:t>
      </w:r>
      <w:r w:rsidR="00AE157D">
        <w:rPr>
          <w:rFonts w:ascii="Work Sans" w:hAnsi="Work Sans"/>
        </w:rPr>
        <w:t xml:space="preserve">Comisión </w:t>
      </w:r>
      <w:r w:rsidRPr="00AE157D" w:rsidR="00AE157D">
        <w:rPr>
          <w:rFonts w:ascii="Work Sans" w:hAnsi="Work Sans"/>
        </w:rPr>
        <w:t xml:space="preserve">Asesora de Coordinación y Seguimiento de la Situación Energética </w:t>
      </w:r>
      <w:r>
        <w:rPr>
          <w:rFonts w:ascii="Work Sans" w:hAnsi="Work Sans"/>
        </w:rPr>
        <w:t>CACSSE</w:t>
      </w:r>
      <w:r w:rsidR="00AE157D">
        <w:rPr>
          <w:rFonts w:ascii="Work Sans" w:hAnsi="Work Sans"/>
        </w:rPr>
        <w:t xml:space="preserve">, en donde se está llevando a cabo tanto las discusiones a nivel sectorial como el seguimiento, cómo la evaluación, análisis y seguimiento de las acciones dispuestas para enfrentar el eventual </w:t>
      </w:r>
      <w:r w:rsidRPr="00E37D33" w:rsidR="00AE157D">
        <w:rPr>
          <w:rFonts w:ascii="Work Sans" w:hAnsi="Work Sans"/>
        </w:rPr>
        <w:t>Fenómeno de El Niño 2026-2027</w:t>
      </w:r>
      <w:r w:rsidR="00AE157D">
        <w:rPr>
          <w:rFonts w:ascii="Work Sans" w:hAnsi="Work Sans"/>
        </w:rPr>
        <w:t>.</w:t>
      </w:r>
    </w:p>
    <w:p w:rsidRPr="00E37D33" w:rsidR="00626361" w:rsidP="001B547B" w:rsidRDefault="00626361" w14:paraId="3CA9C232" w14:textId="77777777">
      <w:pPr>
        <w:pStyle w:val="p2"/>
        <w:spacing w:before="0" w:beforeAutospacing="0" w:after="0" w:afterAutospacing="0"/>
        <w:jc w:val="both"/>
        <w:rPr>
          <w:rFonts w:ascii="Work Sans" w:hAnsi="Work Sans"/>
        </w:rPr>
      </w:pPr>
    </w:p>
    <w:p w:rsidRPr="00E37D33" w:rsidR="00B6139C" w:rsidP="00942547" w:rsidRDefault="00B6139C" w14:paraId="4FBC0125" w14:textId="77777777">
      <w:pPr>
        <w:pStyle w:val="Heading3"/>
        <w:numPr>
          <w:ilvl w:val="6"/>
          <w:numId w:val="9"/>
        </w:numPr>
        <w:spacing w:before="0" w:after="0"/>
        <w:jc w:val="both"/>
        <w:rPr>
          <w:rFonts w:ascii="Work Sans" w:hAnsi="Work Sans" w:cs="Arial"/>
          <w:sz w:val="24"/>
          <w:szCs w:val="24"/>
        </w:rPr>
      </w:pPr>
      <w:r w:rsidRPr="00E37D33">
        <w:rPr>
          <w:rFonts w:ascii="Work Sans" w:hAnsi="Work Sans" w:cs="Arial"/>
          <w:sz w:val="24"/>
          <w:szCs w:val="24"/>
        </w:rPr>
        <w:t>Seguimiento técnico a riesgos para la confiabilidad energética</w:t>
      </w:r>
    </w:p>
    <w:p w:rsidRPr="00E37D33" w:rsidR="0063504F" w:rsidP="001B547B" w:rsidRDefault="0063504F" w14:paraId="72A61349" w14:textId="77777777">
      <w:pPr>
        <w:pStyle w:val="p2"/>
        <w:spacing w:before="0" w:beforeAutospacing="0" w:after="0" w:afterAutospacing="0"/>
        <w:jc w:val="both"/>
        <w:rPr>
          <w:rFonts w:ascii="Work Sans" w:hAnsi="Work Sans"/>
        </w:rPr>
      </w:pPr>
    </w:p>
    <w:p w:rsidRPr="00E37D33" w:rsidR="00B6139C" w:rsidP="001B547B" w:rsidRDefault="00B6139C" w14:paraId="7A84CF3D" w14:textId="77777777">
      <w:pPr>
        <w:pStyle w:val="p2"/>
        <w:spacing w:before="0" w:beforeAutospacing="0" w:after="0" w:afterAutospacing="0"/>
        <w:jc w:val="both"/>
        <w:rPr>
          <w:rFonts w:ascii="Work Sans" w:hAnsi="Work Sans"/>
        </w:rPr>
      </w:pPr>
      <w:r w:rsidRPr="00E37D33">
        <w:rPr>
          <w:rFonts w:ascii="Work Sans" w:hAnsi="Work Sans"/>
        </w:rPr>
        <w:t>El Grupo realizó seguimiento permanente a la evolución de las condiciones climáticas y energéticas reportadas por XM, IDEAM y demás entidades del sector, analizando los posibles efectos de un escenario hidrológico deficitario sobre la operación del Sistema Interconectado Nacional. Como parte de este ejercicio se evaluaron riesgos asociados a la disponibilidad de generación, suficiencia energética, abastecimiento de combustibles, utilización del parque térmico nacional y condiciones operativas de los embalses, generando insumos técnicos para apoyar el seguimiento institucional de la situación.</w:t>
      </w:r>
    </w:p>
    <w:p w:rsidRPr="00E37D33" w:rsidR="00392B8F" w:rsidP="001B547B" w:rsidRDefault="00392B8F" w14:paraId="24B07255" w14:textId="77777777">
      <w:pPr>
        <w:pStyle w:val="p2"/>
        <w:spacing w:before="0" w:beforeAutospacing="0" w:after="0" w:afterAutospacing="0"/>
        <w:jc w:val="both"/>
        <w:rPr>
          <w:rFonts w:ascii="Work Sans" w:hAnsi="Work Sans"/>
        </w:rPr>
      </w:pPr>
    </w:p>
    <w:p w:rsidRPr="00E37D33" w:rsidR="00B6139C" w:rsidP="00942547" w:rsidRDefault="00B6139C" w14:paraId="6CCDCE90" w14:textId="77777777">
      <w:pPr>
        <w:pStyle w:val="Heading3"/>
        <w:numPr>
          <w:ilvl w:val="6"/>
          <w:numId w:val="9"/>
        </w:numPr>
        <w:spacing w:before="0" w:after="0"/>
        <w:jc w:val="both"/>
        <w:rPr>
          <w:rFonts w:ascii="Work Sans" w:hAnsi="Work Sans" w:cs="Arial"/>
          <w:sz w:val="24"/>
          <w:szCs w:val="24"/>
        </w:rPr>
      </w:pPr>
      <w:r w:rsidRPr="00E37D33">
        <w:rPr>
          <w:rFonts w:ascii="Work Sans" w:hAnsi="Work Sans" w:cs="Arial"/>
          <w:sz w:val="24"/>
          <w:szCs w:val="24"/>
        </w:rPr>
        <w:t>Atención de requerimientos institucionales y elaboración de insumos técnicos</w:t>
      </w:r>
    </w:p>
    <w:p w:rsidRPr="00E37D33" w:rsidR="00392B8F" w:rsidP="001B547B" w:rsidRDefault="00392B8F" w14:paraId="647E94EC" w14:textId="77777777">
      <w:pPr>
        <w:pStyle w:val="p2"/>
        <w:spacing w:before="0" w:beforeAutospacing="0" w:after="0" w:afterAutospacing="0"/>
        <w:jc w:val="both"/>
        <w:rPr>
          <w:rFonts w:ascii="Work Sans" w:hAnsi="Work Sans"/>
        </w:rPr>
      </w:pPr>
    </w:p>
    <w:p w:rsidRPr="00E37D33" w:rsidR="00B6139C" w:rsidP="001B547B" w:rsidRDefault="00B6139C" w14:paraId="2E7A59F5" w14:textId="68F8000B">
      <w:pPr>
        <w:pStyle w:val="p2"/>
        <w:spacing w:before="0" w:beforeAutospacing="0" w:after="0" w:afterAutospacing="0"/>
        <w:jc w:val="both"/>
        <w:rPr>
          <w:rFonts w:ascii="Work Sans" w:hAnsi="Work Sans"/>
        </w:rPr>
      </w:pPr>
      <w:r w:rsidRPr="00E37D33">
        <w:rPr>
          <w:rFonts w:ascii="Work Sans" w:hAnsi="Work Sans"/>
        </w:rPr>
        <w:t>El Grupo participó en la preparación de respuestas e insumos técnicos requeridos por organismos de control y diferentes actores del sector energético respecto de las acciones adelantadas por el Gobierno Nacional para enfrentar escenarios asociados al Fenómeno de El Niño. Dentro de estas actividades se destaca la elaboración de información para atender requerimientos de la Procuraduría General de la Nación relacionados con medidas preventivas, coordinación institucional, seguimiento a riesgos energéticos y evaluación de impactos sobre la confiabilidad del sistema.</w:t>
      </w:r>
    </w:p>
    <w:p w:rsidRPr="00E37D33" w:rsidR="00E37D33" w:rsidP="001B547B" w:rsidRDefault="00E37D33" w14:paraId="011ED9C8" w14:textId="70BE633F">
      <w:pPr>
        <w:pStyle w:val="p2"/>
        <w:spacing w:before="0" w:beforeAutospacing="0" w:after="0" w:afterAutospacing="0"/>
        <w:jc w:val="both"/>
        <w:rPr>
          <w:rFonts w:ascii="Work Sans" w:hAnsi="Work Sans"/>
        </w:rPr>
      </w:pPr>
    </w:p>
    <w:p w:rsidRPr="00E37D33" w:rsidR="00B6139C" w:rsidP="001B547B" w:rsidRDefault="00B6139C" w14:paraId="26D9D835" w14:textId="51D3AAED">
      <w:pPr>
        <w:pStyle w:val="p2"/>
        <w:spacing w:before="0" w:beforeAutospacing="0" w:after="0" w:afterAutospacing="0"/>
        <w:jc w:val="both"/>
        <w:rPr>
          <w:rFonts w:ascii="Work Sans" w:hAnsi="Work Sans"/>
        </w:rPr>
      </w:pPr>
      <w:r w:rsidRPr="00E37D33">
        <w:rPr>
          <w:rFonts w:ascii="Work Sans" w:hAnsi="Work Sans"/>
        </w:rPr>
        <w:t>Asimismo, se prepararon documentos de análisis y respuestas dirigidas a gremios y asociaciones del sector energético, en las cuales se consolidó información sobre las medidas de preparación adelantadas por el sector</w:t>
      </w:r>
      <w:r w:rsidR="006A1E28">
        <w:rPr>
          <w:rFonts w:ascii="Work Sans" w:hAnsi="Work Sans"/>
        </w:rPr>
        <w:t xml:space="preserve"> y </w:t>
      </w:r>
      <w:r w:rsidRPr="00E37D33">
        <w:rPr>
          <w:rFonts w:ascii="Work Sans" w:hAnsi="Work Sans"/>
        </w:rPr>
        <w:t>las acciones identificadas en la hoja de ruta sectorial.</w:t>
      </w:r>
    </w:p>
    <w:p w:rsidRPr="00E1010D" w:rsidR="00E37D33" w:rsidP="001B547B" w:rsidRDefault="00E37D33" w14:paraId="45155CA5" w14:textId="79204BC5">
      <w:pPr>
        <w:pStyle w:val="p2"/>
        <w:spacing w:before="0" w:beforeAutospacing="0" w:after="0" w:afterAutospacing="0"/>
        <w:jc w:val="both"/>
        <w:rPr>
          <w:rFonts w:ascii="Work Sans" w:hAnsi="Work Sans"/>
        </w:rPr>
      </w:pPr>
    </w:p>
    <w:p w:rsidRPr="00E1010D" w:rsidR="0047003E" w:rsidP="00942547" w:rsidRDefault="00FD3C8C" w14:paraId="595A6F36" w14:textId="7A93867C">
      <w:pPr>
        <w:pStyle w:val="Heading3"/>
        <w:numPr>
          <w:ilvl w:val="5"/>
          <w:numId w:val="9"/>
        </w:numPr>
        <w:tabs>
          <w:tab w:val="num" w:pos="360"/>
        </w:tabs>
        <w:spacing w:before="0" w:after="0"/>
        <w:jc w:val="both"/>
        <w:rPr>
          <w:rFonts w:ascii="Work Sans" w:hAnsi="Work Sans" w:cs="Arial"/>
          <w:sz w:val="24"/>
          <w:szCs w:val="24"/>
        </w:rPr>
      </w:pPr>
      <w:r w:rsidRPr="00E1010D">
        <w:rPr>
          <w:rFonts w:ascii="Work Sans" w:hAnsi="Work Sans" w:cs="Arial"/>
          <w:sz w:val="24"/>
          <w:szCs w:val="24"/>
        </w:rPr>
        <w:t xml:space="preserve">Seguimiento </w:t>
      </w:r>
      <w:r w:rsidR="00333F74">
        <w:rPr>
          <w:rFonts w:ascii="Work Sans" w:hAnsi="Work Sans" w:cs="Arial"/>
          <w:sz w:val="24"/>
          <w:szCs w:val="24"/>
        </w:rPr>
        <w:t xml:space="preserve">a la operación y confiabilidad </w:t>
      </w:r>
      <w:r w:rsidRPr="00E1010D">
        <w:rPr>
          <w:rFonts w:ascii="Work Sans" w:hAnsi="Work Sans" w:cs="Arial"/>
          <w:sz w:val="24"/>
          <w:szCs w:val="24"/>
        </w:rPr>
        <w:t>del sector eléctrico</w:t>
      </w:r>
    </w:p>
    <w:p w:rsidR="00B6139C" w:rsidP="001B547B" w:rsidRDefault="00B6139C" w14:paraId="23F6D0A1" w14:textId="77777777">
      <w:pPr>
        <w:spacing w:line="259" w:lineRule="auto"/>
        <w:jc w:val="both"/>
        <w:rPr>
          <w:rFonts w:ascii="Work Sans" w:hAnsi="Work Sans" w:cs="Arial"/>
          <w:b/>
          <w:bCs/>
        </w:rPr>
      </w:pPr>
    </w:p>
    <w:p w:rsidRPr="00E1010D" w:rsidR="00333F74" w:rsidP="00942547" w:rsidRDefault="00E211BB" w14:paraId="442E2580" w14:textId="4B1A9BAE">
      <w:pPr>
        <w:pStyle w:val="Heading3"/>
        <w:numPr>
          <w:ilvl w:val="6"/>
          <w:numId w:val="9"/>
        </w:numPr>
        <w:spacing w:before="0" w:after="0"/>
        <w:jc w:val="both"/>
        <w:rPr>
          <w:rFonts w:ascii="Work Sans" w:hAnsi="Work Sans" w:cs="Arial"/>
          <w:sz w:val="24"/>
          <w:szCs w:val="24"/>
        </w:rPr>
      </w:pPr>
      <w:r>
        <w:rPr>
          <w:rFonts w:ascii="Work Sans" w:hAnsi="Work Sans" w:cs="Arial"/>
          <w:sz w:val="24"/>
          <w:szCs w:val="24"/>
        </w:rPr>
        <w:t xml:space="preserve">Sesiones del Consejo Nacional de Operación </w:t>
      </w:r>
    </w:p>
    <w:p w:rsidR="0089722B" w:rsidP="001B547B" w:rsidRDefault="0089722B" w14:paraId="34E4E9FC" w14:textId="77777777">
      <w:pPr>
        <w:spacing w:line="259" w:lineRule="auto"/>
        <w:jc w:val="both"/>
        <w:rPr>
          <w:rFonts w:ascii="Work Sans" w:hAnsi="Work Sans" w:cs="Arial"/>
          <w:b/>
          <w:bCs/>
        </w:rPr>
      </w:pPr>
    </w:p>
    <w:p w:rsidRPr="002D766C" w:rsidR="002D766C" w:rsidP="002D766C" w:rsidRDefault="002D766C" w14:paraId="1250B5B9" w14:textId="77777777">
      <w:pPr>
        <w:spacing w:line="259" w:lineRule="auto"/>
        <w:jc w:val="both"/>
        <w:rPr>
          <w:rFonts w:ascii="Work Sans" w:hAnsi="Work Sans" w:cs="Arial"/>
        </w:rPr>
      </w:pPr>
      <w:r w:rsidRPr="002D766C">
        <w:rPr>
          <w:rFonts w:ascii="Work Sans" w:hAnsi="Work Sans" w:cs="Arial"/>
        </w:rPr>
        <w:t>Como parte de las actividades permanentes de monitoreo del sector eléctrico, el Grupo de Gestión del Sector Eléctrico Colombiano participó en las sesiones de seguimiento del Consejo Nacional de Operación (CNO), instancia técnica encargada de analizar aspectos relacionados con la operación, seguridad y confiabilidad del Sistema Interconectado Nacional. En estos espacios el Ministerio participa con voz, contribuyendo al análisis de situaciones que puedan requerir acciones de política pública, coordinación institucional o seguimiento por parte de las entidades del sector.</w:t>
      </w:r>
    </w:p>
    <w:p w:rsidRPr="002D766C" w:rsidR="002D766C" w:rsidP="002D766C" w:rsidRDefault="002D766C" w14:paraId="3D5833E7" w14:textId="77777777">
      <w:pPr>
        <w:spacing w:line="259" w:lineRule="auto"/>
        <w:jc w:val="both"/>
        <w:rPr>
          <w:rFonts w:ascii="Work Sans" w:hAnsi="Work Sans" w:cs="Arial"/>
        </w:rPr>
      </w:pPr>
    </w:p>
    <w:p w:rsidRPr="002D766C" w:rsidR="002D766C" w:rsidP="002D766C" w:rsidRDefault="002D766C" w14:paraId="7F8ADEBD" w14:textId="7BCBF982">
      <w:pPr>
        <w:spacing w:line="259" w:lineRule="auto"/>
        <w:jc w:val="both"/>
        <w:rPr>
          <w:rFonts w:ascii="Work Sans" w:hAnsi="Work Sans" w:cs="Arial"/>
        </w:rPr>
      </w:pPr>
      <w:r w:rsidRPr="002D766C">
        <w:rPr>
          <w:rFonts w:ascii="Work Sans" w:hAnsi="Work Sans" w:cs="Arial"/>
        </w:rPr>
        <w:t>Entre 2023 y mayo de 2026, el Grupo participó en 38 sesiones de seguimiento del CNO, distribuidas de la siguiente manera:</w:t>
      </w:r>
    </w:p>
    <w:p w:rsidR="002D766C" w:rsidP="001B547B" w:rsidRDefault="002D766C" w14:paraId="6514C16F" w14:textId="77777777">
      <w:pPr>
        <w:spacing w:line="259" w:lineRule="auto"/>
        <w:jc w:val="both"/>
        <w:rPr>
          <w:rFonts w:ascii="Work Sans" w:hAnsi="Work Sans" w:cs="Arial"/>
          <w:b/>
          <w:bCs/>
        </w:rPr>
      </w:pPr>
    </w:p>
    <w:tbl>
      <w:tblPr>
        <w:tblW w:w="0" w:type="auto"/>
        <w:jc w:val="center"/>
        <w:tblBorders>
          <w:top w:val="single" w:color="auto" w:sz="6" w:space="0"/>
          <w:left w:val="single" w:color="auto" w:sz="6" w:space="0"/>
          <w:bottom w:val="single" w:color="auto" w:sz="6" w:space="0"/>
          <w:right w:val="single" w:color="auto" w:sz="6" w:space="0"/>
        </w:tblBorders>
        <w:tblLayout w:type="fixed"/>
        <w:tblCellMar>
          <w:top w:w="160" w:type="dxa"/>
          <w:left w:w="160" w:type="dxa"/>
          <w:bottom w:w="160" w:type="dxa"/>
          <w:right w:w="160" w:type="dxa"/>
        </w:tblCellMar>
        <w:tblLook w:val="04A0" w:firstRow="1" w:lastRow="0" w:firstColumn="1" w:lastColumn="0" w:noHBand="0" w:noVBand="1"/>
      </w:tblPr>
      <w:tblGrid>
        <w:gridCol w:w="954"/>
        <w:gridCol w:w="1590"/>
      </w:tblGrid>
      <w:tr w:rsidRPr="0083498E" w:rsidR="0083498E" w:rsidTr="0083498E" w14:paraId="59994E0A" w14:textId="77777777">
        <w:trPr>
          <w:tblHeader/>
          <w:jc w:val="center"/>
        </w:trPr>
        <w:tc>
          <w:tcPr>
            <w:tcW w:w="954"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83498E" w:rsidR="0083498E" w:rsidP="0083498E" w:rsidRDefault="0083498E" w14:paraId="19B94DE2" w14:textId="77777777">
            <w:pPr>
              <w:pStyle w:val="p1"/>
              <w:jc w:val="center"/>
              <w:rPr>
                <w:rFonts w:ascii="Work Sans" w:hAnsi="Work Sans"/>
                <w:b/>
                <w:bCs/>
                <w:sz w:val="20"/>
                <w:szCs w:val="20"/>
              </w:rPr>
            </w:pPr>
            <w:r w:rsidRPr="0083498E">
              <w:rPr>
                <w:rFonts w:ascii="Work Sans" w:hAnsi="Work Sans"/>
                <w:b/>
                <w:bCs/>
                <w:sz w:val="20"/>
                <w:szCs w:val="20"/>
              </w:rPr>
              <w:t>Año</w:t>
            </w:r>
          </w:p>
        </w:tc>
        <w:tc>
          <w:tcPr>
            <w:tcW w:w="1590"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83498E" w:rsidR="0083498E" w:rsidP="0083498E" w:rsidRDefault="0083498E" w14:paraId="74ED95D0" w14:textId="77777777">
            <w:pPr>
              <w:pStyle w:val="p1"/>
              <w:jc w:val="center"/>
              <w:rPr>
                <w:rFonts w:ascii="Work Sans" w:hAnsi="Work Sans"/>
                <w:b/>
                <w:bCs/>
                <w:sz w:val="20"/>
                <w:szCs w:val="20"/>
              </w:rPr>
            </w:pPr>
            <w:r w:rsidRPr="0083498E">
              <w:rPr>
                <w:rFonts w:ascii="Work Sans" w:hAnsi="Work Sans"/>
                <w:b/>
                <w:bCs/>
                <w:sz w:val="20"/>
                <w:szCs w:val="20"/>
              </w:rPr>
              <w:t>Sesiones de seguimiento</w:t>
            </w:r>
          </w:p>
        </w:tc>
      </w:tr>
      <w:tr w:rsidRPr="0083498E" w:rsidR="0083498E" w:rsidTr="0083498E" w14:paraId="07C22EE1" w14:textId="77777777">
        <w:trPr>
          <w:jc w:val="center"/>
        </w:trPr>
        <w:tc>
          <w:tcPr>
            <w:tcW w:w="954"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83498E" w:rsidR="0083498E" w:rsidP="0083498E" w:rsidRDefault="0083498E" w14:paraId="6953AAAD" w14:textId="77777777">
            <w:pPr>
              <w:pStyle w:val="p1"/>
              <w:jc w:val="center"/>
              <w:rPr>
                <w:rFonts w:ascii="Work Sans" w:hAnsi="Work Sans"/>
                <w:sz w:val="20"/>
                <w:szCs w:val="20"/>
              </w:rPr>
            </w:pPr>
            <w:r w:rsidRPr="0083498E">
              <w:rPr>
                <w:rFonts w:ascii="Work Sans" w:hAnsi="Work Sans"/>
                <w:sz w:val="20"/>
                <w:szCs w:val="20"/>
              </w:rPr>
              <w:t>2023</w:t>
            </w:r>
          </w:p>
        </w:tc>
        <w:tc>
          <w:tcPr>
            <w:tcW w:w="1590"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83498E" w:rsidR="0083498E" w:rsidP="0083498E" w:rsidRDefault="0083498E" w14:paraId="49C78EE8" w14:textId="77777777">
            <w:pPr>
              <w:pStyle w:val="p1"/>
              <w:jc w:val="center"/>
              <w:rPr>
                <w:rFonts w:ascii="Work Sans" w:hAnsi="Work Sans"/>
                <w:sz w:val="20"/>
                <w:szCs w:val="20"/>
              </w:rPr>
            </w:pPr>
            <w:r w:rsidRPr="0083498E">
              <w:rPr>
                <w:rFonts w:ascii="Work Sans" w:hAnsi="Work Sans"/>
                <w:sz w:val="20"/>
                <w:szCs w:val="20"/>
              </w:rPr>
              <w:t>11</w:t>
            </w:r>
          </w:p>
        </w:tc>
      </w:tr>
      <w:tr w:rsidRPr="0083498E" w:rsidR="0083498E" w:rsidTr="0083498E" w14:paraId="385F8A03" w14:textId="77777777">
        <w:trPr>
          <w:jc w:val="center"/>
        </w:trPr>
        <w:tc>
          <w:tcPr>
            <w:tcW w:w="954"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83498E" w:rsidR="0083498E" w:rsidP="0083498E" w:rsidRDefault="0083498E" w14:paraId="3F8D23FD" w14:textId="77777777">
            <w:pPr>
              <w:pStyle w:val="p1"/>
              <w:jc w:val="center"/>
              <w:rPr>
                <w:rFonts w:ascii="Work Sans" w:hAnsi="Work Sans"/>
                <w:sz w:val="20"/>
                <w:szCs w:val="20"/>
              </w:rPr>
            </w:pPr>
            <w:r w:rsidRPr="0083498E">
              <w:rPr>
                <w:rFonts w:ascii="Work Sans" w:hAnsi="Work Sans"/>
                <w:sz w:val="20"/>
                <w:szCs w:val="20"/>
              </w:rPr>
              <w:t>2024</w:t>
            </w:r>
          </w:p>
        </w:tc>
        <w:tc>
          <w:tcPr>
            <w:tcW w:w="1590"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83498E" w:rsidR="0083498E" w:rsidP="0083498E" w:rsidRDefault="0083498E" w14:paraId="24AA67DF" w14:textId="77777777">
            <w:pPr>
              <w:pStyle w:val="p1"/>
              <w:jc w:val="center"/>
              <w:rPr>
                <w:rFonts w:ascii="Work Sans" w:hAnsi="Work Sans"/>
                <w:sz w:val="20"/>
                <w:szCs w:val="20"/>
              </w:rPr>
            </w:pPr>
            <w:r w:rsidRPr="0083498E">
              <w:rPr>
                <w:rFonts w:ascii="Work Sans" w:hAnsi="Work Sans"/>
                <w:sz w:val="20"/>
                <w:szCs w:val="20"/>
              </w:rPr>
              <w:t>12</w:t>
            </w:r>
          </w:p>
        </w:tc>
      </w:tr>
      <w:tr w:rsidRPr="0083498E" w:rsidR="0083498E" w:rsidTr="0083498E" w14:paraId="5891C476" w14:textId="77777777">
        <w:trPr>
          <w:jc w:val="center"/>
        </w:trPr>
        <w:tc>
          <w:tcPr>
            <w:tcW w:w="954"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83498E" w:rsidR="0083498E" w:rsidP="0083498E" w:rsidRDefault="0083498E" w14:paraId="443E712D" w14:textId="77777777">
            <w:pPr>
              <w:pStyle w:val="p1"/>
              <w:jc w:val="center"/>
              <w:rPr>
                <w:rFonts w:ascii="Work Sans" w:hAnsi="Work Sans"/>
                <w:sz w:val="20"/>
                <w:szCs w:val="20"/>
              </w:rPr>
            </w:pPr>
            <w:r w:rsidRPr="0083498E">
              <w:rPr>
                <w:rFonts w:ascii="Work Sans" w:hAnsi="Work Sans"/>
                <w:sz w:val="20"/>
                <w:szCs w:val="20"/>
              </w:rPr>
              <w:t>2025</w:t>
            </w:r>
          </w:p>
        </w:tc>
        <w:tc>
          <w:tcPr>
            <w:tcW w:w="1590"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83498E" w:rsidR="0083498E" w:rsidP="0083498E" w:rsidRDefault="0083498E" w14:paraId="2A88AE41" w14:textId="77777777">
            <w:pPr>
              <w:pStyle w:val="p1"/>
              <w:jc w:val="center"/>
              <w:rPr>
                <w:rFonts w:ascii="Work Sans" w:hAnsi="Work Sans"/>
                <w:sz w:val="20"/>
                <w:szCs w:val="20"/>
              </w:rPr>
            </w:pPr>
            <w:r w:rsidRPr="0083498E">
              <w:rPr>
                <w:rFonts w:ascii="Work Sans" w:hAnsi="Work Sans"/>
                <w:sz w:val="20"/>
                <w:szCs w:val="20"/>
              </w:rPr>
              <w:t>11</w:t>
            </w:r>
          </w:p>
        </w:tc>
      </w:tr>
      <w:tr w:rsidRPr="0083498E" w:rsidR="0083498E" w:rsidTr="0083498E" w14:paraId="345F469C" w14:textId="77777777">
        <w:trPr>
          <w:jc w:val="center"/>
        </w:trPr>
        <w:tc>
          <w:tcPr>
            <w:tcW w:w="954"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83498E" w:rsidR="0083498E" w:rsidP="0083498E" w:rsidRDefault="0083498E" w14:paraId="6B2ABC54" w14:textId="77777777">
            <w:pPr>
              <w:pStyle w:val="p1"/>
              <w:jc w:val="center"/>
              <w:rPr>
                <w:rFonts w:ascii="Work Sans" w:hAnsi="Work Sans"/>
                <w:sz w:val="20"/>
                <w:szCs w:val="20"/>
              </w:rPr>
            </w:pPr>
            <w:r w:rsidRPr="0083498E">
              <w:rPr>
                <w:rFonts w:ascii="Work Sans" w:hAnsi="Work Sans"/>
                <w:sz w:val="20"/>
                <w:szCs w:val="20"/>
              </w:rPr>
              <w:t>2026*</w:t>
            </w:r>
          </w:p>
        </w:tc>
        <w:tc>
          <w:tcPr>
            <w:tcW w:w="1590"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83498E" w:rsidR="0083498E" w:rsidP="0083498E" w:rsidRDefault="0083498E" w14:paraId="6187DE12" w14:textId="77777777">
            <w:pPr>
              <w:pStyle w:val="p1"/>
              <w:jc w:val="center"/>
              <w:rPr>
                <w:rFonts w:ascii="Work Sans" w:hAnsi="Work Sans"/>
                <w:sz w:val="20"/>
                <w:szCs w:val="20"/>
              </w:rPr>
            </w:pPr>
            <w:r w:rsidRPr="0083498E">
              <w:rPr>
                <w:rFonts w:ascii="Work Sans" w:hAnsi="Work Sans"/>
                <w:sz w:val="20"/>
                <w:szCs w:val="20"/>
              </w:rPr>
              <w:t>4</w:t>
            </w:r>
          </w:p>
        </w:tc>
      </w:tr>
      <w:tr w:rsidRPr="0083498E" w:rsidR="0083498E" w:rsidTr="0083498E" w14:paraId="47D4963E" w14:textId="77777777">
        <w:trPr>
          <w:jc w:val="center"/>
        </w:trPr>
        <w:tc>
          <w:tcPr>
            <w:tcW w:w="954"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83498E" w:rsidR="0083498E" w:rsidP="0083498E" w:rsidRDefault="0083498E" w14:paraId="4624A1FE" w14:textId="77777777">
            <w:pPr>
              <w:pStyle w:val="p1"/>
              <w:jc w:val="center"/>
              <w:rPr>
                <w:rFonts w:ascii="Work Sans" w:hAnsi="Work Sans"/>
                <w:sz w:val="20"/>
                <w:szCs w:val="20"/>
              </w:rPr>
            </w:pPr>
            <w:r w:rsidRPr="0083498E">
              <w:rPr>
                <w:rFonts w:ascii="Work Sans" w:hAnsi="Work Sans"/>
                <w:b/>
                <w:bCs/>
                <w:sz w:val="20"/>
                <w:szCs w:val="20"/>
              </w:rPr>
              <w:t>Total</w:t>
            </w:r>
          </w:p>
        </w:tc>
        <w:tc>
          <w:tcPr>
            <w:tcW w:w="1590" w:type="dxa"/>
            <w:tcBorders>
              <w:top w:val="single" w:color="auto" w:sz="6" w:space="0"/>
              <w:left w:val="single" w:color="auto" w:sz="6" w:space="0"/>
              <w:bottom w:val="single" w:color="auto" w:sz="6" w:space="0"/>
              <w:right w:val="single" w:color="auto" w:sz="6" w:space="0"/>
            </w:tcBorders>
            <w:noWrap/>
            <w:tcMar>
              <w:top w:w="120" w:type="dxa"/>
              <w:left w:w="180" w:type="dxa"/>
              <w:bottom w:w="120" w:type="dxa"/>
              <w:right w:w="180" w:type="dxa"/>
            </w:tcMar>
            <w:vAlign w:val="center"/>
            <w:hideMark/>
          </w:tcPr>
          <w:p w:rsidRPr="0083498E" w:rsidR="0083498E" w:rsidP="0083498E" w:rsidRDefault="0083498E" w14:paraId="06676684" w14:textId="77777777">
            <w:pPr>
              <w:pStyle w:val="p1"/>
              <w:jc w:val="center"/>
              <w:rPr>
                <w:rFonts w:ascii="Work Sans" w:hAnsi="Work Sans"/>
                <w:sz w:val="20"/>
                <w:szCs w:val="20"/>
              </w:rPr>
            </w:pPr>
            <w:r w:rsidRPr="0083498E">
              <w:rPr>
                <w:rFonts w:ascii="Work Sans" w:hAnsi="Work Sans"/>
                <w:b/>
                <w:bCs/>
                <w:sz w:val="20"/>
                <w:szCs w:val="20"/>
              </w:rPr>
              <w:t>38</w:t>
            </w:r>
          </w:p>
        </w:tc>
      </w:tr>
    </w:tbl>
    <w:p w:rsidRPr="00EB32A1" w:rsidR="00EB32A1" w:rsidP="00EB32A1" w:rsidRDefault="00EB32A1" w14:paraId="1637F275" w14:textId="77777777">
      <w:pPr>
        <w:pStyle w:val="p1"/>
        <w:spacing w:before="0" w:beforeAutospacing="0" w:after="0" w:afterAutospacing="0"/>
        <w:jc w:val="center"/>
        <w:rPr>
          <w:rFonts w:ascii="Work Sans" w:hAnsi="Work Sans"/>
          <w:sz w:val="20"/>
          <w:szCs w:val="20"/>
        </w:rPr>
      </w:pPr>
      <w:r w:rsidRPr="00EB32A1">
        <w:rPr>
          <w:rFonts w:ascii="Work Sans" w:hAnsi="Work Sans"/>
          <w:sz w:val="20"/>
          <w:szCs w:val="20"/>
        </w:rPr>
        <w:t>*Con corte a mayo de 2026.</w:t>
      </w:r>
    </w:p>
    <w:p w:rsidRPr="00EB32A1" w:rsidR="00EB32A1" w:rsidP="00EB32A1" w:rsidRDefault="00EB32A1" w14:paraId="7B5D2C45" w14:textId="77777777">
      <w:pPr>
        <w:pStyle w:val="p1"/>
        <w:spacing w:before="0" w:beforeAutospacing="0" w:after="0" w:afterAutospacing="0"/>
        <w:jc w:val="both"/>
        <w:rPr>
          <w:rFonts w:ascii="Work Sans" w:hAnsi="Work Sans"/>
        </w:rPr>
      </w:pPr>
    </w:p>
    <w:p w:rsidRPr="00EB32A1" w:rsidR="00EB32A1" w:rsidP="00EB32A1" w:rsidRDefault="00EB32A1" w14:paraId="407854FE" w14:textId="77777777">
      <w:pPr>
        <w:pStyle w:val="p1"/>
        <w:spacing w:before="0" w:beforeAutospacing="0" w:after="0" w:afterAutospacing="0"/>
        <w:jc w:val="both"/>
        <w:rPr>
          <w:rFonts w:ascii="Work Sans" w:hAnsi="Work Sans"/>
        </w:rPr>
      </w:pPr>
      <w:r w:rsidRPr="00EB32A1">
        <w:rPr>
          <w:rFonts w:ascii="Work Sans" w:hAnsi="Work Sans"/>
        </w:rPr>
        <w:t>Durante estas sesiones se realizó seguimiento a temas relacionados con la operación de las plantas de generación, el comportamiento de la red de transmisión, la disponibilidad de infraestructura crítica, los balances energéticos, las condiciones hidrológicas, los eventos de Demanda No Atendida (DNA), las restricciones operativas del sistema y los riesgos asociados a la confiabilidad energética del país. Asimismo, se analizaron alertas operativas y situaciones coyunturales con potencial impacto sobre la prestación del servicio de energía eléctrica y la seguridad energética nacional.</w:t>
      </w:r>
    </w:p>
    <w:p w:rsidRPr="00EB32A1" w:rsidR="00EB32A1" w:rsidP="00EB32A1" w:rsidRDefault="00EB32A1" w14:paraId="63616CC3" w14:textId="77777777">
      <w:pPr>
        <w:pStyle w:val="p1"/>
        <w:spacing w:before="0" w:beforeAutospacing="0" w:after="0" w:afterAutospacing="0"/>
        <w:jc w:val="both"/>
        <w:rPr>
          <w:rFonts w:ascii="Work Sans" w:hAnsi="Work Sans"/>
        </w:rPr>
      </w:pPr>
    </w:p>
    <w:p w:rsidRPr="00DE302B" w:rsidR="002D766C" w:rsidP="00DE302B" w:rsidRDefault="00EB32A1" w14:paraId="4CD9FE61" w14:textId="29279FB1">
      <w:pPr>
        <w:pStyle w:val="p1"/>
        <w:spacing w:before="0" w:beforeAutospacing="0" w:after="0" w:afterAutospacing="0"/>
        <w:jc w:val="both"/>
        <w:rPr>
          <w:rFonts w:ascii="Work Sans" w:hAnsi="Work Sans"/>
        </w:rPr>
      </w:pPr>
      <w:r w:rsidRPr="00EB32A1">
        <w:rPr>
          <w:rFonts w:ascii="Work Sans" w:hAnsi="Work Sans"/>
        </w:rPr>
        <w:t>La participación del Grupo en estos espacios permitió identificar oportunamente riesgos y alertas sectoriales, consolidar información para la elaboración de informes de seguimiento de variables energéticas y apoyar el análisis de medidas regulatorias, operativas e institucionales requeridas para atender situaciones que pudieran afectar la confiabilidad del Sistema Interconectado Nacional. De igual manera, los insumos obtenidos en el marco del CNO sirvieron como soporte para la atención de requerimientos institucionales, la formulación de recomendaciones sectoriales y el seguimiento a eventos estratégicos como la preparación del sector frente a un eventual Fenómeno de El Niño.</w:t>
      </w:r>
    </w:p>
    <w:p w:rsidR="002D766C" w:rsidP="001B547B" w:rsidRDefault="002D766C" w14:paraId="4E54D695" w14:textId="77777777">
      <w:pPr>
        <w:spacing w:line="259" w:lineRule="auto"/>
        <w:jc w:val="both"/>
        <w:rPr>
          <w:rFonts w:ascii="Work Sans" w:hAnsi="Work Sans" w:cs="Arial"/>
          <w:b/>
          <w:bCs/>
        </w:rPr>
      </w:pPr>
    </w:p>
    <w:p w:rsidRPr="00E1010D" w:rsidR="0089722B" w:rsidP="00322690" w:rsidRDefault="007F32DC" w14:paraId="6DB4C7F1" w14:textId="14856295">
      <w:pPr>
        <w:pStyle w:val="Heading3"/>
        <w:numPr>
          <w:ilvl w:val="6"/>
          <w:numId w:val="9"/>
        </w:numPr>
        <w:spacing w:before="0" w:after="0"/>
        <w:jc w:val="both"/>
        <w:rPr>
          <w:rFonts w:ascii="Work Sans" w:hAnsi="Work Sans" w:cs="Arial"/>
          <w:sz w:val="24"/>
          <w:szCs w:val="24"/>
        </w:rPr>
      </w:pPr>
      <w:r>
        <w:rPr>
          <w:rFonts w:ascii="Work Sans" w:hAnsi="Work Sans" w:cs="Arial"/>
          <w:sz w:val="24"/>
          <w:szCs w:val="24"/>
        </w:rPr>
        <w:t>Análisis de</w:t>
      </w:r>
      <w:r w:rsidR="0089722B">
        <w:rPr>
          <w:rFonts w:ascii="Work Sans" w:hAnsi="Work Sans" w:cs="Arial"/>
          <w:sz w:val="24"/>
          <w:szCs w:val="24"/>
        </w:rPr>
        <w:t xml:space="preserve"> variables</w:t>
      </w:r>
      <w:r w:rsidRPr="00E1010D" w:rsidR="0089722B">
        <w:rPr>
          <w:rFonts w:ascii="Work Sans" w:hAnsi="Work Sans" w:cs="Arial"/>
          <w:sz w:val="24"/>
          <w:szCs w:val="24"/>
        </w:rPr>
        <w:t xml:space="preserve"> del sector eléctrico</w:t>
      </w:r>
    </w:p>
    <w:p w:rsidRPr="00E1010D" w:rsidR="0089722B" w:rsidP="001B547B" w:rsidRDefault="0089722B" w14:paraId="02395D16" w14:textId="77777777">
      <w:pPr>
        <w:spacing w:line="259" w:lineRule="auto"/>
        <w:jc w:val="both"/>
        <w:rPr>
          <w:rFonts w:ascii="Work Sans" w:hAnsi="Work Sans" w:cs="Arial"/>
          <w:b/>
          <w:bCs/>
        </w:rPr>
      </w:pPr>
    </w:p>
    <w:p w:rsidRPr="00E1010D" w:rsidR="00823198" w:rsidP="3A4BA2A9" w:rsidRDefault="1C4B0C1C" w14:paraId="0E3F0C99" w14:textId="5128A108">
      <w:pPr>
        <w:spacing w:line="259" w:lineRule="auto"/>
        <w:jc w:val="both"/>
        <w:rPr>
          <w:rStyle w:val="normaltextrun"/>
          <w:rFonts w:ascii="Work Sans" w:hAnsi="Work Sans"/>
          <w:color w:val="000000" w:themeColor="text1"/>
        </w:rPr>
      </w:pPr>
      <w:r w:rsidRPr="3A4BA2A9">
        <w:rPr>
          <w:rStyle w:val="normaltextrun"/>
          <w:rFonts w:ascii="Work Sans" w:hAnsi="Work Sans"/>
          <w:color w:val="000000" w:themeColor="text1"/>
        </w:rPr>
        <w:t xml:space="preserve">Desde el grupo de Grupo de Fondos de Inversión y Gestión del Sector Eléctrico colombiano, se realiza el monitoreo y seguimiento constante al comportamiento de las variables más relevantes de la operación del Sistema Interconectado Nacional (SIN) y el Mercado de Energía Mayorista (MEM).  </w:t>
      </w:r>
    </w:p>
    <w:p w:rsidRPr="00E1010D" w:rsidR="00823198" w:rsidP="3A4BA2A9" w:rsidRDefault="00823198" w14:paraId="47880CF5" w14:textId="4DCA1FD8">
      <w:pPr>
        <w:spacing w:line="259" w:lineRule="auto"/>
        <w:jc w:val="both"/>
      </w:pPr>
    </w:p>
    <w:p w:rsidRPr="00E1010D" w:rsidR="00823198" w:rsidP="3A4BA2A9" w:rsidRDefault="1C4B0C1C" w14:paraId="62D9A345" w14:textId="7C4AA50D">
      <w:pPr>
        <w:spacing w:line="259" w:lineRule="auto"/>
        <w:jc w:val="both"/>
      </w:pPr>
      <w:r w:rsidRPr="3A4BA2A9">
        <w:rPr>
          <w:rStyle w:val="normaltextrun"/>
          <w:rFonts w:ascii="Work Sans" w:hAnsi="Work Sans"/>
          <w:color w:val="000000" w:themeColor="text1"/>
        </w:rPr>
        <w:t>Este ejercicio de monitoreo incluye el seguimiento a las principales variables del mercado, como el precio de bolsa y las transacciones internacionales de energía, con el objetivo de monitorear el funcionamiento eficiente del sistema y levantar alertas relacionadas a señales de escasez. Además, incluye el monitoreo de variables asociadas a la operación propia del SIN, como la generación de energía (discriminando la tecnología de generación), la demanda de energía del sistema (discriminando el tipo de mercado, el operador de red correspondiente, entre otras) y el nivel de los embalses y el comportamiento de general de la hidrología; esta información es clave para asegurar un funcionamiento adecuado del sistema eléctrico en Colombia, acorde a las condiciones climatológicas y las necesidades dinámicas que contantemente debe afrontar el sistema.</w:t>
      </w:r>
    </w:p>
    <w:p w:rsidRPr="00E1010D" w:rsidR="00823198" w:rsidP="3A4BA2A9" w:rsidRDefault="00823198" w14:paraId="60130CA1" w14:textId="6379A09A">
      <w:pPr>
        <w:spacing w:line="259" w:lineRule="auto"/>
        <w:jc w:val="both"/>
        <w:rPr>
          <w:rStyle w:val="normaltextrun"/>
          <w:rFonts w:ascii="Work Sans" w:hAnsi="Work Sans"/>
          <w:color w:val="000000" w:themeColor="text1"/>
        </w:rPr>
      </w:pPr>
    </w:p>
    <w:p w:rsidR="14731CF3" w:rsidP="081E9F5D" w:rsidRDefault="14731CF3" w14:paraId="459BDDA7" w14:textId="0B6331A9">
      <w:pPr>
        <w:spacing w:line="259" w:lineRule="auto"/>
        <w:jc w:val="both"/>
        <w:rPr>
          <w:rStyle w:val="normaltextrun"/>
          <w:rFonts w:ascii="Work Sans" w:hAnsi="Work Sans"/>
          <w:color w:val="000000" w:themeColor="text1"/>
        </w:rPr>
      </w:pPr>
      <w:r w:rsidRPr="081E9F5D">
        <w:rPr>
          <w:rStyle w:val="normaltextrun"/>
          <w:rFonts w:ascii="Work Sans" w:hAnsi="Work Sans"/>
          <w:color w:val="000000" w:themeColor="text1"/>
        </w:rPr>
        <w:t xml:space="preserve">La información levantada y centralizada por el grupo </w:t>
      </w:r>
      <w:r w:rsidRPr="081E9F5D" w:rsidR="2D35CC74">
        <w:rPr>
          <w:rStyle w:val="normaltextrun"/>
          <w:rFonts w:ascii="Work Sans" w:hAnsi="Work Sans"/>
          <w:color w:val="000000" w:themeColor="text1"/>
        </w:rPr>
        <w:t xml:space="preserve">funciona como un indicador predictivo clave, capaz de anticipar condiciones de escasez física antes de que las reservas del sistema se agoten críticamente. Al analizar el comportamiento y las desviaciones de estas variables operativas y comerciales frente a los promedios históricos o regulatorios, el sistema está en capacidad de estructurar y activar un flujo gradual de alertas tempranas. </w:t>
      </w:r>
    </w:p>
    <w:p w:rsidR="14731CF3" w:rsidP="081E9F5D" w:rsidRDefault="14731CF3" w14:paraId="6341E321" w14:textId="46990D3F">
      <w:pPr>
        <w:spacing w:line="259" w:lineRule="auto"/>
        <w:jc w:val="both"/>
        <w:rPr>
          <w:rStyle w:val="normaltextrun"/>
          <w:rFonts w:ascii="Work Sans" w:hAnsi="Work Sans"/>
          <w:color w:val="000000" w:themeColor="text1"/>
        </w:rPr>
      </w:pPr>
    </w:p>
    <w:p w:rsidR="14731CF3" w:rsidP="34705628" w:rsidRDefault="2D35CC74" w14:paraId="43F63CE1" w14:textId="2A3B039F">
      <w:pPr>
        <w:spacing w:line="259" w:lineRule="auto"/>
        <w:jc w:val="both"/>
        <w:rPr>
          <w:rStyle w:val="normaltextrun"/>
          <w:rFonts w:ascii="Work Sans" w:hAnsi="Work Sans"/>
          <w:color w:val="000000" w:themeColor="text1"/>
        </w:rPr>
      </w:pPr>
      <w:r w:rsidRPr="081E9F5D">
        <w:rPr>
          <w:rStyle w:val="normaltextrun"/>
          <w:rFonts w:ascii="Work Sans" w:hAnsi="Work Sans"/>
          <w:color w:val="000000" w:themeColor="text1"/>
        </w:rPr>
        <w:t>Este análisis continuo no solo visibiliza el nivel de riesgo y la necesidad de activar recursos de respaldo, sino que se constituye en una herramienta fundamental para la toma de decisiones estratégicas, permitiendo adoptar cursos de acción oportunos y coordinar medidas de política pública orientadas a mitigar impactos y salvaguardar la seguridad del abastecimiento energético nacional.</w:t>
      </w:r>
    </w:p>
    <w:p w:rsidRPr="00E1010D" w:rsidR="00823198" w:rsidP="3A4BA2A9" w:rsidRDefault="1C4B0C1C" w14:paraId="44FA08FD" w14:textId="011481E7">
      <w:pPr>
        <w:spacing w:line="259" w:lineRule="auto"/>
        <w:jc w:val="both"/>
      </w:pPr>
      <w:r w:rsidRPr="3A4BA2A9">
        <w:rPr>
          <w:rStyle w:val="normaltextrun"/>
          <w:rFonts w:ascii="Work Sans" w:hAnsi="Work Sans"/>
          <w:color w:val="000000" w:themeColor="text1"/>
        </w:rPr>
        <w:t xml:space="preserve"> </w:t>
      </w:r>
    </w:p>
    <w:p w:rsidRPr="00E1010D" w:rsidR="328118D6" w:rsidP="328118D6" w:rsidRDefault="1C4B0C1C" w14:paraId="4E0B300F" w14:textId="7749BF10">
      <w:pPr>
        <w:spacing w:line="259" w:lineRule="auto"/>
        <w:jc w:val="both"/>
      </w:pPr>
      <w:r w:rsidRPr="3A4BA2A9">
        <w:rPr>
          <w:rStyle w:val="normaltextrun"/>
          <w:rFonts w:ascii="Work Sans" w:hAnsi="Work Sans"/>
          <w:color w:val="000000" w:themeColor="text1"/>
        </w:rPr>
        <w:t>Por último, se maneja la información general del estado de la infraestructura del sistema nacional, consolidando la información de las líneas de transmisión presentes en el sistema, la capacidad instalada en plantas de generación de energía y la distribución de operadores de red; esto con el objetivo de mantener una base de información clara y precisa del sector y poder consolidar avances en el desarrollo y expansión de la infraestructura existente.</w:t>
      </w:r>
    </w:p>
    <w:p w:rsidR="328118D6" w:rsidP="328118D6" w:rsidRDefault="328118D6" w14:paraId="47C08D69" w14:textId="7770242D">
      <w:pPr>
        <w:spacing w:line="259" w:lineRule="auto"/>
        <w:jc w:val="both"/>
        <w:rPr>
          <w:rStyle w:val="normaltextrun"/>
          <w:rFonts w:ascii="Work Sans" w:hAnsi="Work Sans"/>
          <w:color w:val="000000" w:themeColor="text1"/>
        </w:rPr>
      </w:pPr>
    </w:p>
    <w:p w:rsidR="55BEFA3E" w:rsidP="37768AEA" w:rsidRDefault="55BEFA3E" w14:paraId="517C475D" w14:textId="1362B762">
      <w:pPr>
        <w:spacing w:line="259" w:lineRule="auto"/>
        <w:jc w:val="both"/>
        <w:rPr>
          <w:rStyle w:val="normaltextrun"/>
          <w:rFonts w:ascii="Work Sans" w:hAnsi="Work Sans"/>
          <w:color w:val="000000" w:themeColor="text1"/>
        </w:rPr>
      </w:pPr>
      <w:r w:rsidRPr="2D73F1F5">
        <w:rPr>
          <w:rStyle w:val="normaltextrun"/>
          <w:rFonts w:ascii="Work Sans" w:hAnsi="Work Sans"/>
          <w:color w:val="000000" w:themeColor="text1"/>
        </w:rPr>
        <w:t>La información levantada y los análisis semanales se ven reflejados en el informe semanal de variables eléctricas desarrollado por el grupo, siendo esta información, además, el principal insumo técnico para la</w:t>
      </w:r>
      <w:r w:rsidRPr="2D73F1F5" w:rsidR="657E693D">
        <w:rPr>
          <w:rStyle w:val="normaltextrun"/>
          <w:rFonts w:ascii="Work Sans" w:hAnsi="Work Sans"/>
          <w:color w:val="000000" w:themeColor="text1"/>
        </w:rPr>
        <w:t>s solicitudes</w:t>
      </w:r>
      <w:r w:rsidRPr="62B1DC08" w:rsidR="657E693D">
        <w:rPr>
          <w:rStyle w:val="normaltextrun"/>
          <w:rFonts w:ascii="Work Sans" w:hAnsi="Work Sans"/>
          <w:color w:val="000000" w:themeColor="text1"/>
        </w:rPr>
        <w:t xml:space="preserve"> de la dirección con respecto a análisis del estado y las condiciones del sistema en situaciones particulares y posibles cursos de acción para atenderlas.</w:t>
      </w:r>
    </w:p>
    <w:p w:rsidRPr="00E1010D" w:rsidR="00823198" w:rsidP="001B547B" w:rsidRDefault="00823198" w14:paraId="3C72F047" w14:textId="77777777">
      <w:pPr>
        <w:spacing w:line="259" w:lineRule="auto"/>
        <w:jc w:val="both"/>
        <w:rPr>
          <w:rStyle w:val="normaltextrun"/>
          <w:rFonts w:ascii="Work Sans" w:hAnsi="Work Sans"/>
          <w:color w:val="000000"/>
          <w:shd w:val="clear" w:color="auto" w:fill="FFFFFF"/>
        </w:rPr>
      </w:pPr>
    </w:p>
    <w:p w:rsidRPr="00E1010D" w:rsidR="00823198" w:rsidP="00322690" w:rsidRDefault="00823198" w14:paraId="63C46416" w14:textId="129F7800">
      <w:pPr>
        <w:pStyle w:val="Heading3"/>
        <w:numPr>
          <w:ilvl w:val="6"/>
          <w:numId w:val="9"/>
        </w:numPr>
        <w:spacing w:before="0" w:after="0"/>
        <w:jc w:val="both"/>
        <w:rPr>
          <w:rFonts w:ascii="Work Sans" w:hAnsi="Work Sans" w:cs="Arial"/>
          <w:sz w:val="24"/>
          <w:szCs w:val="24"/>
        </w:rPr>
      </w:pPr>
      <w:r w:rsidRPr="00E1010D">
        <w:rPr>
          <w:rFonts w:ascii="Work Sans" w:hAnsi="Work Sans" w:cs="Arial"/>
          <w:sz w:val="24"/>
          <w:szCs w:val="24"/>
        </w:rPr>
        <w:t>Tablero de seguimiento a variables del sector eléctrico</w:t>
      </w:r>
    </w:p>
    <w:p w:rsidRPr="00E1010D" w:rsidR="00823198" w:rsidP="001B547B" w:rsidRDefault="00823198" w14:paraId="41FC0CE8" w14:textId="48BA228B">
      <w:pPr>
        <w:spacing w:line="259" w:lineRule="auto"/>
        <w:jc w:val="both"/>
        <w:rPr>
          <w:rStyle w:val="normaltextrun"/>
          <w:rFonts w:ascii="Work Sans" w:hAnsi="Work Sans"/>
          <w:color w:val="000000"/>
          <w:shd w:val="clear" w:color="auto" w:fill="FFFFFF"/>
        </w:rPr>
      </w:pPr>
    </w:p>
    <w:p w:rsidR="761C6B5F" w:rsidP="761C6B5F" w:rsidRDefault="2BA98055" w14:paraId="49618C09" w14:textId="2B197FA4">
      <w:pPr>
        <w:spacing w:line="259" w:lineRule="auto"/>
        <w:jc w:val="both"/>
        <w:rPr>
          <w:rStyle w:val="normaltextrun"/>
          <w:rFonts w:ascii="Work Sans" w:hAnsi="Work Sans"/>
          <w:color w:val="000000" w:themeColor="text1"/>
        </w:rPr>
      </w:pPr>
      <w:r w:rsidRPr="76C74DC4">
        <w:rPr>
          <w:rStyle w:val="normaltextrun"/>
          <w:rFonts w:ascii="Work Sans" w:hAnsi="Work Sans"/>
          <w:color w:val="000000" w:themeColor="text1"/>
        </w:rPr>
        <w:t xml:space="preserve">Con el propósito de fortalecer las capacidades de monitoreo, análisis y toma de decisiones del Ministerio de Minas y </w:t>
      </w:r>
      <w:r w:rsidRPr="15692869">
        <w:rPr>
          <w:rStyle w:val="normaltextrun"/>
          <w:rFonts w:ascii="Work Sans" w:hAnsi="Work Sans"/>
          <w:color w:val="000000" w:themeColor="text1"/>
        </w:rPr>
        <w:t xml:space="preserve">Energía, el Grupo de Fondos de Inversión y Gestión del Sector Eléctrico </w:t>
      </w:r>
      <w:r w:rsidRPr="0FEC4E9D">
        <w:rPr>
          <w:rStyle w:val="normaltextrun"/>
          <w:rFonts w:ascii="Work Sans" w:hAnsi="Work Sans"/>
          <w:color w:val="000000" w:themeColor="text1"/>
        </w:rPr>
        <w:t xml:space="preserve">desarrolló </w:t>
      </w:r>
      <w:r w:rsidRPr="0FEC4E9D" w:rsidR="5B061491">
        <w:rPr>
          <w:rStyle w:val="normaltextrun"/>
          <w:rFonts w:ascii="Work Sans" w:hAnsi="Work Sans"/>
          <w:color w:val="000000" w:themeColor="text1"/>
        </w:rPr>
        <w:t xml:space="preserve">un tablero interactivo para el </w:t>
      </w:r>
      <w:r w:rsidRPr="6553D0DA" w:rsidR="5B061491">
        <w:rPr>
          <w:rStyle w:val="normaltextrun"/>
          <w:rFonts w:ascii="Work Sans" w:hAnsi="Work Sans"/>
          <w:color w:val="000000" w:themeColor="text1"/>
        </w:rPr>
        <w:t xml:space="preserve">seguimiento de variables del Sistema Interconectado Nacional, la herramienta </w:t>
      </w:r>
      <w:r w:rsidRPr="08AE8790" w:rsidR="5B061491">
        <w:rPr>
          <w:rStyle w:val="normaltextrun"/>
          <w:rFonts w:ascii="Work Sans" w:hAnsi="Work Sans"/>
          <w:color w:val="000000" w:themeColor="text1"/>
        </w:rPr>
        <w:t xml:space="preserve">consolida información técnica y operativa proveniente de fuentes </w:t>
      </w:r>
      <w:r w:rsidRPr="5DFF0817" w:rsidR="5B061491">
        <w:rPr>
          <w:rStyle w:val="normaltextrun"/>
          <w:rFonts w:ascii="Work Sans" w:hAnsi="Work Sans"/>
          <w:color w:val="000000" w:themeColor="text1"/>
        </w:rPr>
        <w:t xml:space="preserve">oficiales del sector eléctrico, permitiendo visualizar de manera </w:t>
      </w:r>
      <w:r w:rsidRPr="731C0106" w:rsidR="71D668A7">
        <w:rPr>
          <w:rStyle w:val="normaltextrun"/>
          <w:rFonts w:ascii="Work Sans" w:hAnsi="Work Sans"/>
          <w:color w:val="000000" w:themeColor="text1"/>
        </w:rPr>
        <w:t>dinámica</w:t>
      </w:r>
      <w:r w:rsidRPr="73D2964A" w:rsidR="5B061491">
        <w:rPr>
          <w:rStyle w:val="normaltextrun"/>
          <w:rFonts w:ascii="Work Sans" w:hAnsi="Work Sans"/>
          <w:color w:val="000000" w:themeColor="text1"/>
        </w:rPr>
        <w:t xml:space="preserve"> indicadores relacionados con capacidad </w:t>
      </w:r>
      <w:r w:rsidRPr="2F526EF6" w:rsidR="5B061491">
        <w:rPr>
          <w:rStyle w:val="normaltextrun"/>
          <w:rFonts w:ascii="Work Sans" w:hAnsi="Work Sans"/>
          <w:color w:val="000000" w:themeColor="text1"/>
        </w:rPr>
        <w:t xml:space="preserve">instalada, generación de </w:t>
      </w:r>
      <w:r w:rsidRPr="2F526EF6" w:rsidR="3363E5E2">
        <w:rPr>
          <w:rStyle w:val="normaltextrun"/>
          <w:rFonts w:ascii="Work Sans" w:hAnsi="Work Sans"/>
          <w:color w:val="000000" w:themeColor="text1"/>
        </w:rPr>
        <w:t>energía, infraestructura del SIN y Operadores de red</w:t>
      </w:r>
      <w:r w:rsidRPr="3899CB68" w:rsidR="3363E5E2">
        <w:rPr>
          <w:rStyle w:val="normaltextrun"/>
          <w:rFonts w:ascii="Work Sans" w:hAnsi="Work Sans"/>
          <w:color w:val="000000" w:themeColor="text1"/>
        </w:rPr>
        <w:t xml:space="preserve">. </w:t>
      </w:r>
      <w:r w:rsidRPr="508E0CEA" w:rsidR="3363E5E2">
        <w:rPr>
          <w:rStyle w:val="normaltextrun"/>
          <w:rFonts w:ascii="Work Sans" w:hAnsi="Work Sans"/>
          <w:color w:val="000000" w:themeColor="text1"/>
        </w:rPr>
        <w:t xml:space="preserve">Asimismo, incorpora filtros geográficos y tecnológicos que facilitan el </w:t>
      </w:r>
      <w:r w:rsidRPr="731C0106" w:rsidR="69238621">
        <w:rPr>
          <w:rStyle w:val="normaltextrun"/>
          <w:rFonts w:ascii="Work Sans" w:hAnsi="Work Sans"/>
          <w:color w:val="000000" w:themeColor="text1"/>
        </w:rPr>
        <w:t>análisis</w:t>
      </w:r>
      <w:r w:rsidRPr="508E0CEA" w:rsidR="3363E5E2">
        <w:rPr>
          <w:rStyle w:val="normaltextrun"/>
          <w:rFonts w:ascii="Work Sans" w:hAnsi="Work Sans"/>
          <w:color w:val="000000" w:themeColor="text1"/>
        </w:rPr>
        <w:t xml:space="preserve"> por departament</w:t>
      </w:r>
      <w:r w:rsidRPr="508E0CEA" w:rsidR="20432A9E">
        <w:rPr>
          <w:rStyle w:val="normaltextrun"/>
          <w:rFonts w:ascii="Work Sans" w:hAnsi="Work Sans"/>
          <w:color w:val="000000" w:themeColor="text1"/>
        </w:rPr>
        <w:t xml:space="preserve">o, agente y </w:t>
      </w:r>
      <w:r w:rsidRPr="621B03B8" w:rsidR="20432A9E">
        <w:rPr>
          <w:rStyle w:val="normaltextrun"/>
          <w:rFonts w:ascii="Work Sans" w:hAnsi="Work Sans"/>
          <w:color w:val="000000" w:themeColor="text1"/>
        </w:rPr>
        <w:t>tecnología de generación.</w:t>
      </w:r>
    </w:p>
    <w:p w:rsidR="621B03B8" w:rsidP="621B03B8" w:rsidRDefault="621B03B8" w14:paraId="26B1AEEF" w14:textId="237F422B">
      <w:pPr>
        <w:spacing w:line="259" w:lineRule="auto"/>
        <w:jc w:val="both"/>
        <w:rPr>
          <w:rStyle w:val="normaltextrun"/>
          <w:rFonts w:ascii="Work Sans" w:hAnsi="Work Sans"/>
          <w:color w:val="000000" w:themeColor="text1"/>
        </w:rPr>
      </w:pPr>
    </w:p>
    <w:p w:rsidR="20432A9E" w:rsidP="7A6DCB5C" w:rsidRDefault="20432A9E" w14:paraId="55267F76" w14:textId="0FCD4A0F">
      <w:pPr>
        <w:spacing w:line="259" w:lineRule="auto"/>
        <w:jc w:val="both"/>
        <w:rPr>
          <w:rStyle w:val="normaltextrun"/>
          <w:rFonts w:ascii="Work Sans" w:hAnsi="Work Sans"/>
          <w:color w:val="000000" w:themeColor="text1"/>
        </w:rPr>
      </w:pPr>
      <w:r w:rsidRPr="7A6DCB5C">
        <w:rPr>
          <w:rStyle w:val="normaltextrun"/>
          <w:rFonts w:ascii="Work Sans" w:hAnsi="Work Sans"/>
          <w:color w:val="000000" w:themeColor="text1"/>
        </w:rPr>
        <w:t>El tablero permite realizar seguimiento permanente a la evolución de la capacidad instalada en operación y pruebas, identificar la distribución territorial de los recursos energéticos, monitorear el comportamiento de la generación eléctrica nacional y analizar la infraestructura de transmisión del país mediante mapas interactivos y visualizaciones estadísticas. Esta herramienta constituye un insumo estratégico para la formulación de política pública, la evaluación de la transición energética y el seguimiento al desempeño del sector eléctrico colombiano.</w:t>
      </w:r>
    </w:p>
    <w:p w:rsidR="1838CE1B" w:rsidP="1838CE1B" w:rsidRDefault="1838CE1B" w14:paraId="3C8ED253" w14:textId="330CA0CD">
      <w:pPr>
        <w:spacing w:line="259" w:lineRule="auto"/>
        <w:jc w:val="both"/>
        <w:rPr>
          <w:rStyle w:val="normaltextrun"/>
          <w:rFonts w:ascii="Work Sans" w:hAnsi="Work Sans"/>
          <w:color w:val="000000" w:themeColor="text1"/>
        </w:rPr>
      </w:pPr>
    </w:p>
    <w:p w:rsidR="7A6DCB5C" w:rsidP="7A6DCB5C" w:rsidRDefault="7A6DCB5C" w14:paraId="46E1F5D5" w14:textId="055157F7">
      <w:pPr>
        <w:spacing w:line="259" w:lineRule="auto"/>
        <w:jc w:val="both"/>
        <w:rPr>
          <w:rStyle w:val="normaltextrun"/>
          <w:rFonts w:ascii="Work Sans" w:hAnsi="Work Sans"/>
          <w:color w:val="000000" w:themeColor="text1"/>
        </w:rPr>
      </w:pPr>
    </w:p>
    <w:p w:rsidRPr="00582003" w:rsidR="10E43F53" w:rsidP="00582003" w:rsidRDefault="10E43F53" w14:paraId="156B0838" w14:textId="119F15EC">
      <w:pPr>
        <w:spacing w:line="259" w:lineRule="auto"/>
        <w:jc w:val="center"/>
        <w:rPr>
          <w:sz w:val="20"/>
          <w:szCs w:val="20"/>
        </w:rPr>
      </w:pPr>
      <w:r w:rsidRPr="00582003">
        <w:rPr>
          <w:noProof/>
          <w:sz w:val="20"/>
          <w:szCs w:val="20"/>
        </w:rPr>
        <w:drawing>
          <wp:inline distT="0" distB="0" distL="0" distR="0" wp14:anchorId="1F6ABF2E" wp14:editId="0F3DB6B0">
            <wp:extent cx="5619750" cy="3171825"/>
            <wp:effectExtent l="0" t="0" r="0" b="0"/>
            <wp:docPr id="16366230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62302" name="Picture 163662302"/>
                    <pic:cNvPicPr/>
                  </pic:nvPicPr>
                  <pic:blipFill>
                    <a:blip r:embed="rId20">
                      <a:extLst>
                        <a:ext uri="{28A0092B-C50C-407E-A947-70E740481C1C}">
                          <a14:useLocalDpi xmlns:a14="http://schemas.microsoft.com/office/drawing/2010/main"/>
                        </a:ext>
                      </a:extLst>
                    </a:blip>
                    <a:stretch>
                      <a:fillRect/>
                    </a:stretch>
                  </pic:blipFill>
                  <pic:spPr>
                    <a:xfrm>
                      <a:off x="0" y="0"/>
                      <a:ext cx="5619750" cy="3171825"/>
                    </a:xfrm>
                    <a:prstGeom prst="rect">
                      <a:avLst/>
                    </a:prstGeom>
                  </pic:spPr>
                </pic:pic>
              </a:graphicData>
            </a:graphic>
          </wp:inline>
        </w:drawing>
      </w:r>
    </w:p>
    <w:p w:rsidRPr="00582003" w:rsidR="026D780E" w:rsidP="00582003" w:rsidRDefault="2E388141" w14:paraId="7C56552F" w14:textId="206F5872">
      <w:pPr>
        <w:spacing w:line="259" w:lineRule="auto"/>
        <w:jc w:val="center"/>
        <w:rPr>
          <w:rStyle w:val="normaltextrun"/>
          <w:rFonts w:ascii="Work Sans" w:hAnsi="Work Sans" w:cs="Arial"/>
          <w:i/>
          <w:color w:val="44546A"/>
          <w:sz w:val="20"/>
          <w:szCs w:val="20"/>
        </w:rPr>
      </w:pPr>
      <w:r w:rsidRPr="00582003">
        <w:rPr>
          <w:rStyle w:val="normaltextrun"/>
          <w:rFonts w:ascii="Work Sans" w:hAnsi="Work Sans" w:cs="Arial"/>
          <w:i/>
          <w:iCs/>
          <w:color w:val="44546A"/>
          <w:sz w:val="20"/>
          <w:szCs w:val="20"/>
        </w:rPr>
        <w:t>Ilustración </w:t>
      </w:r>
      <w:r w:rsidRPr="00582003" w:rsidR="00582003">
        <w:rPr>
          <w:rStyle w:val="normaltextrun"/>
          <w:rFonts w:ascii="Work Sans" w:hAnsi="Work Sans" w:cs="Arial"/>
          <w:i/>
          <w:iCs/>
          <w:color w:val="000000" w:themeColor="text1"/>
          <w:sz w:val="20"/>
          <w:szCs w:val="20"/>
        </w:rPr>
        <w:t>3</w:t>
      </w:r>
      <w:r w:rsidRPr="00582003">
        <w:rPr>
          <w:rStyle w:val="normaltextrun"/>
          <w:rFonts w:ascii="Work Sans" w:hAnsi="Work Sans" w:cs="Arial"/>
          <w:i/>
          <w:iCs/>
          <w:color w:val="44546A"/>
          <w:sz w:val="20"/>
          <w:szCs w:val="20"/>
        </w:rPr>
        <w:t> –</w:t>
      </w:r>
      <w:r w:rsidRPr="00582003" w:rsidR="5754BED6">
        <w:rPr>
          <w:rStyle w:val="normaltextrun"/>
          <w:rFonts w:ascii="Work Sans" w:hAnsi="Work Sans" w:cs="Arial"/>
          <w:i/>
          <w:color w:val="44546A"/>
          <w:sz w:val="20"/>
          <w:szCs w:val="20"/>
        </w:rPr>
        <w:t xml:space="preserve"> Vista principal del tablero de seguimiento del sector eléctrico colombiano.</w:t>
      </w:r>
    </w:p>
    <w:p w:rsidRPr="00582003" w:rsidR="00C95D8A" w:rsidP="00582003" w:rsidRDefault="00C95D8A" w14:paraId="2FAD21FA" w14:textId="77777777">
      <w:pPr>
        <w:spacing w:line="259" w:lineRule="auto"/>
        <w:jc w:val="center"/>
        <w:rPr>
          <w:sz w:val="20"/>
          <w:szCs w:val="20"/>
        </w:rPr>
      </w:pPr>
    </w:p>
    <w:p w:rsidRPr="00582003" w:rsidR="026D780E" w:rsidP="00582003" w:rsidRDefault="10E43F53" w14:paraId="624A0B16" w14:textId="4FEC2933">
      <w:pPr>
        <w:spacing w:line="259" w:lineRule="auto"/>
        <w:jc w:val="center"/>
        <w:rPr>
          <w:sz w:val="20"/>
          <w:szCs w:val="20"/>
        </w:rPr>
      </w:pPr>
      <w:r w:rsidRPr="00582003">
        <w:rPr>
          <w:noProof/>
          <w:sz w:val="20"/>
          <w:szCs w:val="20"/>
        </w:rPr>
        <w:drawing>
          <wp:inline distT="0" distB="0" distL="0" distR="0" wp14:anchorId="263741F9" wp14:editId="6E64938E">
            <wp:extent cx="5619750" cy="3000375"/>
            <wp:effectExtent l="0" t="0" r="0" b="0"/>
            <wp:docPr id="7579393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939318" name="Picture 757939318"/>
                    <pic:cNvPicPr/>
                  </pic:nvPicPr>
                  <pic:blipFill>
                    <a:blip r:embed="rId21">
                      <a:extLst>
                        <a:ext uri="{28A0092B-C50C-407E-A947-70E740481C1C}">
                          <a14:useLocalDpi xmlns:a14="http://schemas.microsoft.com/office/drawing/2010/main"/>
                        </a:ext>
                      </a:extLst>
                    </a:blip>
                    <a:stretch>
                      <a:fillRect/>
                    </a:stretch>
                  </pic:blipFill>
                  <pic:spPr>
                    <a:xfrm>
                      <a:off x="0" y="0"/>
                      <a:ext cx="5619750" cy="3000375"/>
                    </a:xfrm>
                    <a:prstGeom prst="rect">
                      <a:avLst/>
                    </a:prstGeom>
                  </pic:spPr>
                </pic:pic>
              </a:graphicData>
            </a:graphic>
          </wp:inline>
        </w:drawing>
      </w:r>
    </w:p>
    <w:p w:rsidRPr="00582003" w:rsidR="40A9356F" w:rsidP="00582003" w:rsidRDefault="6C1A52BA" w14:paraId="57375CFD" w14:textId="2251A834">
      <w:pPr>
        <w:spacing w:line="259" w:lineRule="auto"/>
        <w:jc w:val="center"/>
        <w:rPr>
          <w:sz w:val="20"/>
          <w:szCs w:val="20"/>
        </w:rPr>
      </w:pPr>
      <w:r w:rsidRPr="00582003">
        <w:rPr>
          <w:rStyle w:val="normaltextrun"/>
          <w:rFonts w:ascii="Work Sans" w:hAnsi="Work Sans" w:cs="Arial"/>
          <w:i/>
          <w:iCs/>
          <w:color w:val="44546A"/>
          <w:sz w:val="20"/>
          <w:szCs w:val="20"/>
        </w:rPr>
        <w:t>Ilustración </w:t>
      </w:r>
      <w:r w:rsidRPr="00582003" w:rsidR="00582003">
        <w:rPr>
          <w:rStyle w:val="normaltextrun"/>
          <w:rFonts w:ascii="Work Sans" w:hAnsi="Work Sans" w:cs="Arial"/>
          <w:i/>
          <w:iCs/>
          <w:color w:val="000000" w:themeColor="text1"/>
          <w:sz w:val="20"/>
          <w:szCs w:val="20"/>
        </w:rPr>
        <w:t>4</w:t>
      </w:r>
      <w:r w:rsidRPr="00582003">
        <w:rPr>
          <w:rStyle w:val="normaltextrun"/>
          <w:rFonts w:ascii="Work Sans" w:hAnsi="Work Sans" w:cs="Arial"/>
          <w:i/>
          <w:iCs/>
          <w:color w:val="44546A"/>
          <w:sz w:val="20"/>
          <w:szCs w:val="20"/>
        </w:rPr>
        <w:t> – Panel de capacidad instalada en operación del Sistema Interconectado Nacional.</w:t>
      </w:r>
    </w:p>
    <w:p w:rsidRPr="00582003" w:rsidR="750CA44B" w:rsidP="00582003" w:rsidRDefault="750CA44B" w14:paraId="41DA2F8C" w14:textId="6A7B874C">
      <w:pPr>
        <w:spacing w:line="259" w:lineRule="auto"/>
        <w:jc w:val="center"/>
        <w:rPr>
          <w:sz w:val="20"/>
          <w:szCs w:val="20"/>
        </w:rPr>
      </w:pPr>
    </w:p>
    <w:p w:rsidRPr="00582003" w:rsidR="026D780E" w:rsidP="00582003" w:rsidRDefault="10E43F53" w14:paraId="3681173C" w14:textId="37EA8F1E">
      <w:pPr>
        <w:spacing w:line="259" w:lineRule="auto"/>
        <w:jc w:val="center"/>
        <w:rPr>
          <w:sz w:val="20"/>
          <w:szCs w:val="20"/>
        </w:rPr>
      </w:pPr>
      <w:r w:rsidRPr="00582003">
        <w:rPr>
          <w:noProof/>
          <w:sz w:val="20"/>
          <w:szCs w:val="20"/>
        </w:rPr>
        <w:drawing>
          <wp:inline distT="0" distB="0" distL="0" distR="0" wp14:anchorId="54F73137" wp14:editId="14A415B8">
            <wp:extent cx="5619750" cy="3171825"/>
            <wp:effectExtent l="0" t="0" r="0" b="0"/>
            <wp:docPr id="36408249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082494" name="Picture 364082494"/>
                    <pic:cNvPicPr/>
                  </pic:nvPicPr>
                  <pic:blipFill>
                    <a:blip r:embed="rId22">
                      <a:extLst>
                        <a:ext uri="{28A0092B-C50C-407E-A947-70E740481C1C}">
                          <a14:useLocalDpi xmlns:a14="http://schemas.microsoft.com/office/drawing/2010/main"/>
                        </a:ext>
                      </a:extLst>
                    </a:blip>
                    <a:stretch>
                      <a:fillRect/>
                    </a:stretch>
                  </pic:blipFill>
                  <pic:spPr>
                    <a:xfrm>
                      <a:off x="0" y="0"/>
                      <a:ext cx="5619750" cy="3171825"/>
                    </a:xfrm>
                    <a:prstGeom prst="rect">
                      <a:avLst/>
                    </a:prstGeom>
                  </pic:spPr>
                </pic:pic>
              </a:graphicData>
            </a:graphic>
          </wp:inline>
        </w:drawing>
      </w:r>
      <w:r w:rsidRPr="00582003" w:rsidR="299734E6">
        <w:rPr>
          <w:rStyle w:val="normaltextrun"/>
          <w:rFonts w:ascii="Work Sans" w:hAnsi="Work Sans" w:cs="Arial"/>
          <w:i/>
          <w:iCs/>
          <w:color w:val="44546A"/>
          <w:sz w:val="20"/>
          <w:szCs w:val="20"/>
        </w:rPr>
        <w:t>Ilustración </w:t>
      </w:r>
      <w:r w:rsidRPr="00582003" w:rsidR="00582003">
        <w:rPr>
          <w:rStyle w:val="normaltextrun"/>
          <w:rFonts w:ascii="Work Sans" w:hAnsi="Work Sans" w:cs="Arial"/>
          <w:i/>
          <w:iCs/>
          <w:color w:val="000000" w:themeColor="text1"/>
          <w:sz w:val="20"/>
          <w:szCs w:val="20"/>
        </w:rPr>
        <w:t>5</w:t>
      </w:r>
      <w:r w:rsidRPr="00582003" w:rsidR="299734E6">
        <w:rPr>
          <w:rStyle w:val="normaltextrun"/>
          <w:rFonts w:ascii="Work Sans" w:hAnsi="Work Sans" w:cs="Arial"/>
          <w:i/>
          <w:iCs/>
          <w:color w:val="44546A"/>
          <w:sz w:val="20"/>
          <w:szCs w:val="20"/>
        </w:rPr>
        <w:t>–</w:t>
      </w:r>
      <w:r w:rsidRPr="00582003" w:rsidR="10E06619">
        <w:rPr>
          <w:rStyle w:val="normaltextrun"/>
          <w:rFonts w:ascii="Work Sans" w:hAnsi="Work Sans" w:cs="Arial"/>
          <w:i/>
          <w:color w:val="44546A"/>
          <w:sz w:val="20"/>
          <w:szCs w:val="20"/>
        </w:rPr>
        <w:t xml:space="preserve"> Panel de capacidad instalada en pruebas y tramites del Sistema Interconectado Nacional.</w:t>
      </w:r>
    </w:p>
    <w:p w:rsidRPr="00582003" w:rsidR="026D780E" w:rsidP="00582003" w:rsidRDefault="026D780E" w14:paraId="692CBC9D" w14:textId="736E92D1">
      <w:pPr>
        <w:spacing w:line="259" w:lineRule="auto"/>
        <w:jc w:val="center"/>
        <w:rPr>
          <w:sz w:val="20"/>
          <w:szCs w:val="20"/>
        </w:rPr>
      </w:pPr>
    </w:p>
    <w:p w:rsidRPr="00582003" w:rsidR="0842B563" w:rsidP="00582003" w:rsidRDefault="66CD1504" w14:paraId="64F4B1E3" w14:textId="31AE8BFD">
      <w:pPr>
        <w:spacing w:line="259" w:lineRule="auto"/>
        <w:jc w:val="center"/>
        <w:rPr>
          <w:sz w:val="20"/>
          <w:szCs w:val="20"/>
        </w:rPr>
      </w:pPr>
      <w:r w:rsidRPr="00582003">
        <w:rPr>
          <w:noProof/>
          <w:sz w:val="20"/>
          <w:szCs w:val="20"/>
        </w:rPr>
        <w:drawing>
          <wp:inline distT="0" distB="0" distL="0" distR="0" wp14:anchorId="478BE3E6" wp14:editId="2832A046">
            <wp:extent cx="5619750" cy="3190875"/>
            <wp:effectExtent l="0" t="0" r="0" b="0"/>
            <wp:docPr id="154380172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801724" name="Picture 1543801724"/>
                    <pic:cNvPicPr/>
                  </pic:nvPicPr>
                  <pic:blipFill>
                    <a:blip r:embed="rId23">
                      <a:extLst>
                        <a:ext uri="{28A0092B-C50C-407E-A947-70E740481C1C}">
                          <a14:useLocalDpi xmlns:a14="http://schemas.microsoft.com/office/drawing/2010/main"/>
                        </a:ext>
                      </a:extLst>
                    </a:blip>
                    <a:stretch>
                      <a:fillRect/>
                    </a:stretch>
                  </pic:blipFill>
                  <pic:spPr>
                    <a:xfrm>
                      <a:off x="0" y="0"/>
                      <a:ext cx="5619750" cy="3190875"/>
                    </a:xfrm>
                    <a:prstGeom prst="rect">
                      <a:avLst/>
                    </a:prstGeom>
                  </pic:spPr>
                </pic:pic>
              </a:graphicData>
            </a:graphic>
          </wp:inline>
        </w:drawing>
      </w:r>
      <w:r w:rsidRPr="00582003" w:rsidR="204B1E51">
        <w:rPr>
          <w:rStyle w:val="normaltextrun"/>
          <w:rFonts w:ascii="Work Sans" w:hAnsi="Work Sans" w:cs="Arial"/>
          <w:i/>
          <w:iCs/>
          <w:color w:val="44546A"/>
          <w:sz w:val="20"/>
          <w:szCs w:val="20"/>
        </w:rPr>
        <w:t>Ilustración </w:t>
      </w:r>
      <w:r w:rsidRPr="00582003" w:rsidR="00582003">
        <w:rPr>
          <w:rStyle w:val="normaltextrun"/>
          <w:rFonts w:ascii="Work Sans" w:hAnsi="Work Sans" w:cs="Arial"/>
          <w:i/>
          <w:iCs/>
          <w:color w:val="000000" w:themeColor="text1"/>
          <w:sz w:val="20"/>
          <w:szCs w:val="20"/>
        </w:rPr>
        <w:t>6</w:t>
      </w:r>
      <w:r w:rsidRPr="00582003" w:rsidR="204B1E51">
        <w:rPr>
          <w:rStyle w:val="normaltextrun"/>
          <w:rFonts w:ascii="Work Sans" w:hAnsi="Work Sans" w:cs="Arial"/>
          <w:i/>
          <w:iCs/>
          <w:color w:val="44546A"/>
          <w:sz w:val="20"/>
          <w:szCs w:val="20"/>
        </w:rPr>
        <w:t> –</w:t>
      </w:r>
      <w:r w:rsidRPr="00582003" w:rsidR="435777AB">
        <w:rPr>
          <w:rStyle w:val="normaltextrun"/>
          <w:rFonts w:ascii="Work Sans" w:hAnsi="Work Sans" w:cs="Arial"/>
          <w:i/>
          <w:color w:val="44546A"/>
          <w:sz w:val="20"/>
          <w:szCs w:val="20"/>
        </w:rPr>
        <w:t xml:space="preserve"> Panel de seguimiento de generación eléctrica del Sistema Interconectado Nacional</w:t>
      </w:r>
    </w:p>
    <w:p w:rsidRPr="00582003" w:rsidR="1838CE1B" w:rsidP="00582003" w:rsidRDefault="1838CE1B" w14:paraId="654B2FE9" w14:textId="7BE7E47D">
      <w:pPr>
        <w:spacing w:line="259" w:lineRule="auto"/>
        <w:jc w:val="center"/>
        <w:rPr>
          <w:sz w:val="20"/>
          <w:szCs w:val="20"/>
        </w:rPr>
      </w:pPr>
    </w:p>
    <w:p w:rsidRPr="00582003" w:rsidR="0842B563" w:rsidP="00582003" w:rsidRDefault="66CD1504" w14:paraId="0A37F755" w14:textId="69A5E5EB">
      <w:pPr>
        <w:spacing w:line="259" w:lineRule="auto"/>
        <w:jc w:val="center"/>
        <w:rPr>
          <w:sz w:val="20"/>
          <w:szCs w:val="20"/>
        </w:rPr>
      </w:pPr>
      <w:r w:rsidRPr="00582003">
        <w:rPr>
          <w:noProof/>
          <w:sz w:val="20"/>
          <w:szCs w:val="20"/>
        </w:rPr>
        <w:drawing>
          <wp:inline distT="0" distB="0" distL="0" distR="0" wp14:anchorId="4822E10E" wp14:editId="286AA654">
            <wp:extent cx="5619750" cy="3257550"/>
            <wp:effectExtent l="0" t="0" r="0" b="0"/>
            <wp:docPr id="2736882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688238" name="Picture 273688238"/>
                    <pic:cNvPicPr/>
                  </pic:nvPicPr>
                  <pic:blipFill>
                    <a:blip r:embed="rId24">
                      <a:extLst>
                        <a:ext uri="{28A0092B-C50C-407E-A947-70E740481C1C}">
                          <a14:useLocalDpi xmlns:a14="http://schemas.microsoft.com/office/drawing/2010/main"/>
                        </a:ext>
                      </a:extLst>
                    </a:blip>
                    <a:stretch>
                      <a:fillRect/>
                    </a:stretch>
                  </pic:blipFill>
                  <pic:spPr>
                    <a:xfrm>
                      <a:off x="0" y="0"/>
                      <a:ext cx="5619750" cy="3257550"/>
                    </a:xfrm>
                    <a:prstGeom prst="rect">
                      <a:avLst/>
                    </a:prstGeom>
                  </pic:spPr>
                </pic:pic>
              </a:graphicData>
            </a:graphic>
          </wp:inline>
        </w:drawing>
      </w:r>
    </w:p>
    <w:p w:rsidRPr="00582003" w:rsidR="38028582" w:rsidP="00582003" w:rsidRDefault="3FFFD546" w14:paraId="4065AEF8" w14:textId="103D2C20">
      <w:pPr>
        <w:spacing w:line="259" w:lineRule="auto"/>
        <w:jc w:val="center"/>
        <w:rPr>
          <w:sz w:val="20"/>
          <w:szCs w:val="20"/>
        </w:rPr>
      </w:pPr>
      <w:r w:rsidRPr="00582003">
        <w:rPr>
          <w:rStyle w:val="normaltextrun"/>
          <w:rFonts w:ascii="Work Sans" w:hAnsi="Work Sans" w:eastAsia="Work Sans" w:cs="Work Sans"/>
          <w:i/>
          <w:iCs/>
          <w:color w:val="44546A"/>
          <w:sz w:val="20"/>
          <w:szCs w:val="20"/>
        </w:rPr>
        <w:t>Ilustración </w:t>
      </w:r>
      <w:r w:rsidRPr="00582003" w:rsidR="00582003">
        <w:rPr>
          <w:rStyle w:val="normaltextrun"/>
          <w:rFonts w:ascii="Work Sans" w:hAnsi="Work Sans" w:eastAsia="Work Sans" w:cs="Work Sans"/>
          <w:i/>
          <w:iCs/>
          <w:color w:val="000000" w:themeColor="text1"/>
          <w:sz w:val="20"/>
          <w:szCs w:val="20"/>
        </w:rPr>
        <w:t>7</w:t>
      </w:r>
      <w:r w:rsidRPr="00582003">
        <w:rPr>
          <w:rStyle w:val="normaltextrun"/>
          <w:rFonts w:ascii="Work Sans" w:hAnsi="Work Sans" w:eastAsia="Work Sans" w:cs="Work Sans"/>
          <w:i/>
          <w:iCs/>
          <w:color w:val="44546A"/>
          <w:sz w:val="20"/>
          <w:szCs w:val="20"/>
        </w:rPr>
        <w:t> –</w:t>
      </w:r>
      <w:r w:rsidRPr="00582003" w:rsidR="134F40D3">
        <w:rPr>
          <w:rStyle w:val="normaltextrun"/>
          <w:rFonts w:ascii="Work Sans" w:hAnsi="Work Sans" w:eastAsia="Work Sans" w:cs="Work Sans"/>
          <w:i/>
          <w:color w:val="44546A"/>
          <w:sz w:val="20"/>
          <w:szCs w:val="20"/>
        </w:rPr>
        <w:t xml:space="preserve"> </w:t>
      </w:r>
      <w:r w:rsidRPr="00582003" w:rsidR="3A5EA8F1">
        <w:rPr>
          <w:rStyle w:val="normaltextrun"/>
          <w:rFonts w:ascii="Work Sans" w:hAnsi="Work Sans" w:eastAsia="Work Sans" w:cs="Work Sans"/>
          <w:i/>
          <w:color w:val="44546A"/>
          <w:sz w:val="20"/>
          <w:szCs w:val="20"/>
        </w:rPr>
        <w:t>Panel de seguimiento de la infraestructura de transmisión del Sistema Interconectado Nacional.</w:t>
      </w:r>
    </w:p>
    <w:p w:rsidRPr="00582003" w:rsidR="026D780E" w:rsidP="00582003" w:rsidRDefault="104C0721" w14:paraId="6172EA5B" w14:textId="15D2787B">
      <w:pPr>
        <w:spacing w:line="259" w:lineRule="auto"/>
        <w:jc w:val="center"/>
        <w:rPr>
          <w:sz w:val="20"/>
          <w:szCs w:val="20"/>
        </w:rPr>
      </w:pPr>
      <w:r w:rsidRPr="00582003">
        <w:rPr>
          <w:noProof/>
          <w:sz w:val="20"/>
          <w:szCs w:val="20"/>
        </w:rPr>
        <w:drawing>
          <wp:inline distT="0" distB="0" distL="0" distR="0" wp14:anchorId="5B54D2A4" wp14:editId="2979A566">
            <wp:extent cx="5619750" cy="3105150"/>
            <wp:effectExtent l="0" t="0" r="0" b="0"/>
            <wp:docPr id="4556185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618538" name="Picture 455618538"/>
                    <pic:cNvPicPr/>
                  </pic:nvPicPr>
                  <pic:blipFill>
                    <a:blip r:embed="rId25">
                      <a:extLst>
                        <a:ext uri="{28A0092B-C50C-407E-A947-70E740481C1C}">
                          <a14:useLocalDpi xmlns:a14="http://schemas.microsoft.com/office/drawing/2010/main"/>
                        </a:ext>
                      </a:extLst>
                    </a:blip>
                    <a:stretch>
                      <a:fillRect/>
                    </a:stretch>
                  </pic:blipFill>
                  <pic:spPr>
                    <a:xfrm>
                      <a:off x="0" y="0"/>
                      <a:ext cx="5619750" cy="3105150"/>
                    </a:xfrm>
                    <a:prstGeom prst="rect">
                      <a:avLst/>
                    </a:prstGeom>
                  </pic:spPr>
                </pic:pic>
              </a:graphicData>
            </a:graphic>
          </wp:inline>
        </w:drawing>
      </w:r>
      <w:r w:rsidRPr="00582003" w:rsidR="09B92D84">
        <w:rPr>
          <w:rStyle w:val="normaltextrun"/>
          <w:rFonts w:ascii="Work Sans" w:hAnsi="Work Sans" w:eastAsia="Work Sans" w:cs="Work Sans"/>
          <w:i/>
          <w:iCs/>
          <w:color w:val="44546A"/>
          <w:sz w:val="20"/>
          <w:szCs w:val="20"/>
        </w:rPr>
        <w:t>Ilustración </w:t>
      </w:r>
      <w:r w:rsidRPr="00582003" w:rsidR="00582003">
        <w:rPr>
          <w:rStyle w:val="normaltextrun"/>
          <w:rFonts w:ascii="Work Sans" w:hAnsi="Work Sans" w:eastAsia="Work Sans" w:cs="Work Sans"/>
          <w:i/>
          <w:iCs/>
          <w:color w:val="000000" w:themeColor="text1"/>
          <w:sz w:val="20"/>
          <w:szCs w:val="20"/>
        </w:rPr>
        <w:t>8</w:t>
      </w:r>
      <w:r w:rsidRPr="00582003" w:rsidR="09B92D84">
        <w:rPr>
          <w:rStyle w:val="normaltextrun"/>
          <w:rFonts w:ascii="Work Sans" w:hAnsi="Work Sans" w:eastAsia="Work Sans" w:cs="Work Sans"/>
          <w:i/>
          <w:iCs/>
          <w:color w:val="44546A"/>
          <w:sz w:val="20"/>
          <w:szCs w:val="20"/>
        </w:rPr>
        <w:t> –</w:t>
      </w:r>
      <w:r w:rsidRPr="00582003">
        <w:rPr>
          <w:rStyle w:val="normaltextrun"/>
          <w:rFonts w:ascii="Work Sans" w:hAnsi="Work Sans" w:eastAsia="Work Sans" w:cs="Work Sans"/>
          <w:i/>
          <w:color w:val="44546A"/>
          <w:sz w:val="20"/>
          <w:szCs w:val="20"/>
        </w:rPr>
        <w:t xml:space="preserve"> </w:t>
      </w:r>
      <w:r w:rsidRPr="00582003" w:rsidR="721E4173">
        <w:rPr>
          <w:rStyle w:val="normaltextrun"/>
          <w:rFonts w:ascii="Work Sans" w:hAnsi="Work Sans" w:eastAsia="Work Sans" w:cs="Work Sans"/>
          <w:i/>
          <w:color w:val="44546A"/>
          <w:sz w:val="20"/>
          <w:szCs w:val="20"/>
        </w:rPr>
        <w:t>Visualización georreferenciada de la infraestructura de transmisión del sistema eléctrico colombiano.</w:t>
      </w:r>
    </w:p>
    <w:p w:rsidRPr="00582003" w:rsidR="39F40BE5" w:rsidP="00582003" w:rsidRDefault="39F40BE5" w14:paraId="7B716A45" w14:textId="6D6BCC9C">
      <w:pPr>
        <w:spacing w:line="259" w:lineRule="auto"/>
        <w:jc w:val="center"/>
        <w:rPr>
          <w:sz w:val="20"/>
          <w:szCs w:val="20"/>
        </w:rPr>
      </w:pPr>
    </w:p>
    <w:p w:rsidRPr="00582003" w:rsidR="026D780E" w:rsidP="00582003" w:rsidRDefault="66CD1504" w14:paraId="366630B1" w14:textId="601CBFD0">
      <w:pPr>
        <w:spacing w:line="259" w:lineRule="auto"/>
        <w:jc w:val="center"/>
        <w:rPr>
          <w:sz w:val="20"/>
          <w:szCs w:val="20"/>
        </w:rPr>
      </w:pPr>
      <w:r w:rsidRPr="00582003">
        <w:rPr>
          <w:noProof/>
          <w:sz w:val="20"/>
          <w:szCs w:val="20"/>
        </w:rPr>
        <w:drawing>
          <wp:inline distT="0" distB="0" distL="0" distR="0" wp14:anchorId="2F3FC4E0" wp14:editId="380535BE">
            <wp:extent cx="5619750" cy="3181350"/>
            <wp:effectExtent l="0" t="0" r="0" b="0"/>
            <wp:docPr id="188947210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472100" name="Picture 1889472100"/>
                    <pic:cNvPicPr/>
                  </pic:nvPicPr>
                  <pic:blipFill>
                    <a:blip r:embed="rId26">
                      <a:extLst>
                        <a:ext uri="{28A0092B-C50C-407E-A947-70E740481C1C}">
                          <a14:useLocalDpi xmlns:a14="http://schemas.microsoft.com/office/drawing/2010/main"/>
                        </a:ext>
                      </a:extLst>
                    </a:blip>
                    <a:stretch>
                      <a:fillRect/>
                    </a:stretch>
                  </pic:blipFill>
                  <pic:spPr>
                    <a:xfrm>
                      <a:off x="0" y="0"/>
                      <a:ext cx="5619750" cy="3181350"/>
                    </a:xfrm>
                    <a:prstGeom prst="rect">
                      <a:avLst/>
                    </a:prstGeom>
                  </pic:spPr>
                </pic:pic>
              </a:graphicData>
            </a:graphic>
          </wp:inline>
        </w:drawing>
      </w:r>
    </w:p>
    <w:p w:rsidRPr="00582003" w:rsidR="0A479B43" w:rsidP="00582003" w:rsidRDefault="4B79D395" w14:paraId="35F06D54" w14:textId="4664CAA5">
      <w:pPr>
        <w:spacing w:line="259" w:lineRule="auto"/>
        <w:jc w:val="center"/>
        <w:rPr>
          <w:sz w:val="20"/>
          <w:szCs w:val="20"/>
        </w:rPr>
      </w:pPr>
      <w:r w:rsidRPr="00582003">
        <w:rPr>
          <w:rStyle w:val="normaltextrun"/>
          <w:rFonts w:ascii="Work Sans" w:hAnsi="Work Sans" w:eastAsia="Work Sans" w:cs="Work Sans"/>
          <w:i/>
          <w:iCs/>
          <w:color w:val="44546A"/>
          <w:sz w:val="20"/>
          <w:szCs w:val="20"/>
        </w:rPr>
        <w:t>Ilustración </w:t>
      </w:r>
      <w:r w:rsidRPr="00582003" w:rsidR="00582003">
        <w:rPr>
          <w:rStyle w:val="normaltextrun"/>
          <w:rFonts w:ascii="Work Sans" w:hAnsi="Work Sans" w:eastAsia="Work Sans" w:cs="Work Sans"/>
          <w:i/>
          <w:iCs/>
          <w:color w:val="000000" w:themeColor="text1"/>
          <w:sz w:val="20"/>
          <w:szCs w:val="20"/>
        </w:rPr>
        <w:t>9</w:t>
      </w:r>
      <w:r w:rsidRPr="00582003">
        <w:rPr>
          <w:rStyle w:val="normaltextrun"/>
          <w:rFonts w:ascii="Work Sans" w:hAnsi="Work Sans" w:eastAsia="Work Sans" w:cs="Work Sans"/>
          <w:i/>
          <w:iCs/>
          <w:color w:val="44546A"/>
          <w:sz w:val="20"/>
          <w:szCs w:val="20"/>
        </w:rPr>
        <w:t>–</w:t>
      </w:r>
      <w:r w:rsidRPr="00582003" w:rsidR="6655811F">
        <w:rPr>
          <w:rStyle w:val="normaltextrun"/>
          <w:rFonts w:ascii="Work Sans" w:hAnsi="Work Sans" w:eastAsia="Work Sans" w:cs="Work Sans"/>
          <w:i/>
          <w:color w:val="44546A"/>
          <w:sz w:val="20"/>
          <w:szCs w:val="20"/>
        </w:rPr>
        <w:t xml:space="preserve"> </w:t>
      </w:r>
      <w:r w:rsidRPr="00582003" w:rsidR="450B9337">
        <w:rPr>
          <w:rStyle w:val="normaltextrun"/>
          <w:rFonts w:ascii="Work Sans" w:hAnsi="Work Sans" w:eastAsia="Work Sans" w:cs="Work Sans"/>
          <w:i/>
          <w:color w:val="44546A"/>
          <w:sz w:val="20"/>
          <w:szCs w:val="20"/>
        </w:rPr>
        <w:t>Panel de seguimiento de subestaciones eléctricas y capacidad instalada por nivel de tensión y potencia.</w:t>
      </w:r>
    </w:p>
    <w:p w:rsidRPr="00582003" w:rsidR="026D780E" w:rsidP="00582003" w:rsidRDefault="672D7B6A" w14:paraId="53E61C8F" w14:textId="23BEEC1E">
      <w:pPr>
        <w:spacing w:line="259" w:lineRule="auto"/>
        <w:jc w:val="center"/>
        <w:rPr>
          <w:sz w:val="20"/>
          <w:szCs w:val="20"/>
        </w:rPr>
      </w:pPr>
      <w:r w:rsidRPr="00582003">
        <w:rPr>
          <w:noProof/>
          <w:sz w:val="20"/>
          <w:szCs w:val="20"/>
        </w:rPr>
        <w:drawing>
          <wp:inline distT="0" distB="0" distL="0" distR="0" wp14:anchorId="768A3A9A" wp14:editId="579A72A4">
            <wp:extent cx="5619750" cy="3228975"/>
            <wp:effectExtent l="0" t="0" r="0" b="0"/>
            <wp:docPr id="111663774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637744" name="Picture 1116637744"/>
                    <pic:cNvPicPr/>
                  </pic:nvPicPr>
                  <pic:blipFill>
                    <a:blip r:embed="rId27">
                      <a:extLst>
                        <a:ext uri="{28A0092B-C50C-407E-A947-70E740481C1C}">
                          <a14:useLocalDpi xmlns:a14="http://schemas.microsoft.com/office/drawing/2010/main"/>
                        </a:ext>
                      </a:extLst>
                    </a:blip>
                    <a:stretch>
                      <a:fillRect/>
                    </a:stretch>
                  </pic:blipFill>
                  <pic:spPr>
                    <a:xfrm>
                      <a:off x="0" y="0"/>
                      <a:ext cx="5619750" cy="3228975"/>
                    </a:xfrm>
                    <a:prstGeom prst="rect">
                      <a:avLst/>
                    </a:prstGeom>
                  </pic:spPr>
                </pic:pic>
              </a:graphicData>
            </a:graphic>
          </wp:inline>
        </w:drawing>
      </w:r>
      <w:r w:rsidRPr="00582003" w:rsidR="391075AB">
        <w:rPr>
          <w:rStyle w:val="normaltextrun"/>
          <w:rFonts w:ascii="Work Sans" w:hAnsi="Work Sans" w:eastAsia="Work Sans" w:cs="Work Sans"/>
          <w:i/>
          <w:iCs/>
          <w:color w:val="44546A"/>
          <w:sz w:val="20"/>
          <w:szCs w:val="20"/>
        </w:rPr>
        <w:t>Ilustración </w:t>
      </w:r>
      <w:r w:rsidRPr="00582003" w:rsidR="00582003">
        <w:rPr>
          <w:rStyle w:val="normaltextrun"/>
          <w:rFonts w:ascii="Work Sans" w:hAnsi="Work Sans" w:eastAsia="Work Sans" w:cs="Work Sans"/>
          <w:i/>
          <w:iCs/>
          <w:color w:val="000000" w:themeColor="text1"/>
          <w:sz w:val="20"/>
          <w:szCs w:val="20"/>
        </w:rPr>
        <w:t>10</w:t>
      </w:r>
      <w:r w:rsidRPr="00582003" w:rsidR="391075AB">
        <w:rPr>
          <w:rStyle w:val="normaltextrun"/>
          <w:rFonts w:ascii="Work Sans" w:hAnsi="Work Sans" w:eastAsia="Work Sans" w:cs="Work Sans"/>
          <w:i/>
          <w:iCs/>
          <w:color w:val="44546A"/>
          <w:sz w:val="20"/>
          <w:szCs w:val="20"/>
        </w:rPr>
        <w:t> –</w:t>
      </w:r>
      <w:r w:rsidRPr="00582003" w:rsidR="66D7D016">
        <w:rPr>
          <w:rStyle w:val="normaltextrun"/>
          <w:rFonts w:ascii="Work Sans" w:hAnsi="Work Sans" w:eastAsia="Work Sans" w:cs="Work Sans"/>
          <w:i/>
          <w:color w:val="44546A"/>
          <w:sz w:val="20"/>
          <w:szCs w:val="20"/>
        </w:rPr>
        <w:t>Panel de seguimiento de operadores de red y demanda de energía por operador de red.</w:t>
      </w:r>
    </w:p>
    <w:p w:rsidR="026D780E" w:rsidP="00396132" w:rsidRDefault="026D780E" w14:paraId="1A056A34" w14:textId="5050B034">
      <w:pPr>
        <w:spacing w:line="259" w:lineRule="auto"/>
        <w:jc w:val="both"/>
      </w:pPr>
    </w:p>
    <w:p w:rsidR="00396132" w:rsidP="00396132" w:rsidRDefault="00396132" w14:paraId="2623ABAD" w14:textId="77777777">
      <w:pPr>
        <w:spacing w:line="259" w:lineRule="auto"/>
        <w:jc w:val="both"/>
      </w:pPr>
    </w:p>
    <w:p w:rsidRPr="00E1010D" w:rsidR="00806151" w:rsidP="00C158F1" w:rsidRDefault="00806151" w14:paraId="7FF83D9C" w14:textId="249809EA">
      <w:pPr>
        <w:pStyle w:val="Heading3"/>
        <w:numPr>
          <w:ilvl w:val="5"/>
          <w:numId w:val="9"/>
        </w:numPr>
        <w:tabs>
          <w:tab w:val="num" w:pos="360"/>
        </w:tabs>
        <w:spacing w:before="0" w:after="0"/>
        <w:jc w:val="both"/>
        <w:rPr>
          <w:rFonts w:ascii="Work Sans" w:hAnsi="Work Sans" w:cs="Arial"/>
          <w:sz w:val="24"/>
          <w:szCs w:val="24"/>
        </w:rPr>
      </w:pPr>
      <w:r w:rsidRPr="00E1010D">
        <w:rPr>
          <w:rFonts w:ascii="Work Sans" w:hAnsi="Work Sans" w:cs="Arial"/>
          <w:sz w:val="24"/>
          <w:szCs w:val="24"/>
        </w:rPr>
        <w:t>Monitoreo de alertas y riesgos del sector eléctrico</w:t>
      </w:r>
    </w:p>
    <w:p w:rsidR="008B24E4" w:rsidP="001B547B" w:rsidRDefault="008B24E4" w14:paraId="31A163C5" w14:textId="5273DD94">
      <w:pPr>
        <w:pStyle w:val="p2"/>
        <w:spacing w:before="0" w:beforeAutospacing="0" w:after="0" w:afterAutospacing="0"/>
        <w:jc w:val="both"/>
        <w:rPr>
          <w:rFonts w:ascii="Work Sans" w:hAnsi="Work Sans"/>
        </w:rPr>
      </w:pPr>
    </w:p>
    <w:p w:rsidR="00806151" w:rsidP="001B547B" w:rsidRDefault="00806151" w14:paraId="71607365" w14:textId="77777777">
      <w:pPr>
        <w:pStyle w:val="p2"/>
        <w:spacing w:before="0" w:beforeAutospacing="0" w:after="0" w:afterAutospacing="0"/>
        <w:jc w:val="both"/>
        <w:rPr>
          <w:rFonts w:ascii="Work Sans" w:hAnsi="Work Sans"/>
        </w:rPr>
      </w:pPr>
      <w:r w:rsidRPr="00E1010D">
        <w:rPr>
          <w:rFonts w:ascii="Work Sans" w:hAnsi="Work Sans"/>
        </w:rPr>
        <w:t>Como parte de las actividades de monitoreo sectorial, el Grupo de Gestión del Sector Eléctrico Colombiano realizó seguimiento permanente a diferentes alertas operativas, sociales, regulatorias y de infraestructura con potencial impacto sobre la prestación del servicio de energía eléctrica, la confiabilidad del Sistema Interconectado Nacional y la seguridad energética del país. Estas actividades permitieron consolidar información técnica, promover espacios de articulación institucional y apoyar la toma de decisiones frente a situaciones que requerían atención prioritaria por parte del Ministerio de Minas y Energía.</w:t>
      </w:r>
    </w:p>
    <w:p w:rsidRPr="00E1010D" w:rsidR="0009243B" w:rsidP="001B547B" w:rsidRDefault="0009243B" w14:paraId="53116091" w14:textId="77777777">
      <w:pPr>
        <w:pStyle w:val="p2"/>
        <w:spacing w:before="0" w:beforeAutospacing="0" w:after="0" w:afterAutospacing="0"/>
        <w:jc w:val="both"/>
        <w:rPr>
          <w:rFonts w:ascii="Work Sans" w:hAnsi="Work Sans"/>
        </w:rPr>
      </w:pPr>
    </w:p>
    <w:p w:rsidRPr="00E1010D" w:rsidR="00806151" w:rsidP="00C158F1" w:rsidRDefault="00806151" w14:paraId="704F675C" w14:textId="77777777">
      <w:pPr>
        <w:pStyle w:val="Heading3"/>
        <w:numPr>
          <w:ilvl w:val="6"/>
          <w:numId w:val="9"/>
        </w:numPr>
        <w:spacing w:before="0" w:after="0"/>
        <w:jc w:val="both"/>
        <w:rPr>
          <w:rFonts w:ascii="Work Sans" w:hAnsi="Work Sans" w:cs="Arial"/>
          <w:sz w:val="24"/>
          <w:szCs w:val="24"/>
        </w:rPr>
      </w:pPr>
      <w:r w:rsidRPr="00E1010D">
        <w:rPr>
          <w:rFonts w:ascii="Work Sans" w:hAnsi="Work Sans" w:cs="Arial"/>
          <w:sz w:val="24"/>
          <w:szCs w:val="24"/>
        </w:rPr>
        <w:t>Prestación del servicio y alertas regionales</w:t>
      </w:r>
    </w:p>
    <w:p w:rsidR="0009243B" w:rsidP="001B547B" w:rsidRDefault="0009243B" w14:paraId="467A2EA0" w14:textId="77777777">
      <w:pPr>
        <w:pStyle w:val="p2"/>
        <w:spacing w:before="0" w:beforeAutospacing="0" w:after="0" w:afterAutospacing="0"/>
        <w:jc w:val="both"/>
        <w:rPr>
          <w:rFonts w:ascii="Work Sans" w:hAnsi="Work Sans"/>
        </w:rPr>
      </w:pPr>
    </w:p>
    <w:p w:rsidRPr="00E1010D" w:rsidR="00806151" w:rsidP="001B547B" w:rsidRDefault="00806151" w14:paraId="313D257D" w14:textId="77777777">
      <w:pPr>
        <w:pStyle w:val="p2"/>
        <w:spacing w:before="0" w:beforeAutospacing="0" w:after="0" w:afterAutospacing="0"/>
        <w:jc w:val="both"/>
        <w:rPr>
          <w:rFonts w:ascii="Work Sans" w:hAnsi="Work Sans"/>
        </w:rPr>
      </w:pPr>
      <w:r w:rsidRPr="00E1010D">
        <w:rPr>
          <w:rFonts w:ascii="Work Sans" w:hAnsi="Work Sans"/>
        </w:rPr>
        <w:t>El Grupo desarrolló actividades de monitoreo sobre situaciones que afectaban la prestación del servicio de energía eléctrica en diferentes regiones del país, realizando seguimiento a restricciones operativas, eventos de demanda no atendida, limitaciones de infraestructura y problemáticas asociadas a la calidad y continuidad del servicio.</w:t>
      </w:r>
    </w:p>
    <w:p w:rsidR="00F42FF7" w:rsidP="001B547B" w:rsidRDefault="00F42FF7" w14:paraId="4A3F0172" w14:textId="05284DD9">
      <w:pPr>
        <w:pStyle w:val="p3"/>
        <w:spacing w:before="0" w:beforeAutospacing="0" w:after="0" w:afterAutospacing="0"/>
        <w:jc w:val="both"/>
        <w:rPr>
          <w:rFonts w:ascii="Work Sans" w:hAnsi="Work Sans"/>
          <w:b/>
          <w:bCs/>
        </w:rPr>
      </w:pPr>
    </w:p>
    <w:p w:rsidRPr="00E1010D" w:rsidR="00806151" w:rsidP="001B547B" w:rsidRDefault="00806151" w14:paraId="305B3966" w14:textId="5882457C">
      <w:pPr>
        <w:pStyle w:val="p3"/>
        <w:spacing w:before="0" w:beforeAutospacing="0" w:after="0" w:afterAutospacing="0"/>
        <w:jc w:val="both"/>
        <w:rPr>
          <w:rFonts w:ascii="Work Sans" w:hAnsi="Work Sans"/>
        </w:rPr>
      </w:pPr>
      <w:r w:rsidRPr="00E1010D">
        <w:rPr>
          <w:rFonts w:ascii="Work Sans" w:hAnsi="Work Sans"/>
          <w:b/>
          <w:bCs/>
        </w:rPr>
        <w:t>Audiencia pública sobre la prestación del servicio en el departamento del Magdalena</w:t>
      </w:r>
    </w:p>
    <w:p w:rsidR="00257F2D" w:rsidP="001B547B" w:rsidRDefault="00257F2D" w14:paraId="48113C65" w14:textId="69521136">
      <w:pPr>
        <w:pStyle w:val="p2"/>
        <w:spacing w:before="0" w:beforeAutospacing="0" w:after="0" w:afterAutospacing="0"/>
        <w:jc w:val="both"/>
        <w:rPr>
          <w:rFonts w:ascii="Work Sans" w:hAnsi="Work Sans"/>
        </w:rPr>
      </w:pPr>
    </w:p>
    <w:p w:rsidR="00806151" w:rsidP="001B547B" w:rsidRDefault="00806151" w14:paraId="36B5CF94" w14:textId="725F4383">
      <w:pPr>
        <w:pStyle w:val="p2"/>
        <w:spacing w:before="0" w:beforeAutospacing="0" w:after="0" w:afterAutospacing="0"/>
        <w:jc w:val="both"/>
        <w:rPr>
          <w:rFonts w:ascii="Work Sans" w:hAnsi="Work Sans"/>
        </w:rPr>
      </w:pPr>
      <w:r w:rsidRPr="00E1010D">
        <w:rPr>
          <w:rFonts w:ascii="Work Sans" w:hAnsi="Work Sans"/>
        </w:rPr>
        <w:t>En atención a la audiencia pública convocada para analizar la situación de la prestación del servicio de energía eléctrica en el departamento del Magdalena, el Grupo elaboró insumos técnicos para apoyar la participación institucional del Ministerio. Los documentos preparados consolidaron información relacionada con aspectos regulatorios, tarifarios, calidad del servicio, reducción de pérdidas, expansión de cobertura y programas orientados a mejorar las condiciones de prestación del servicio en la Región Caribe.</w:t>
      </w:r>
    </w:p>
    <w:p w:rsidRPr="00E1010D" w:rsidR="00257F2D" w:rsidP="001B547B" w:rsidRDefault="00257F2D" w14:paraId="2C1AF704" w14:textId="1EB953A7">
      <w:pPr>
        <w:pStyle w:val="p2"/>
        <w:spacing w:before="0" w:beforeAutospacing="0" w:after="0" w:afterAutospacing="0"/>
        <w:jc w:val="both"/>
        <w:rPr>
          <w:rFonts w:ascii="Work Sans" w:hAnsi="Work Sans"/>
        </w:rPr>
      </w:pPr>
    </w:p>
    <w:p w:rsidRPr="00E1010D" w:rsidR="00806151" w:rsidP="001833B8" w:rsidRDefault="00806151" w14:paraId="77E92C37" w14:textId="23304AD7">
      <w:pPr>
        <w:pStyle w:val="Heading3"/>
        <w:numPr>
          <w:ilvl w:val="6"/>
          <w:numId w:val="9"/>
        </w:numPr>
        <w:spacing w:before="0" w:after="0"/>
        <w:jc w:val="both"/>
        <w:rPr>
          <w:rFonts w:ascii="Work Sans" w:hAnsi="Work Sans" w:cs="Arial"/>
          <w:sz w:val="24"/>
          <w:szCs w:val="24"/>
        </w:rPr>
      </w:pPr>
      <w:r w:rsidRPr="00E1010D">
        <w:rPr>
          <w:rFonts w:ascii="Work Sans" w:hAnsi="Work Sans" w:cs="Arial"/>
          <w:sz w:val="24"/>
          <w:szCs w:val="24"/>
        </w:rPr>
        <w:t>Seguimiento regulatorio y de mercado</w:t>
      </w:r>
    </w:p>
    <w:p w:rsidR="00B61D02" w:rsidP="001B547B" w:rsidRDefault="00B61D02" w14:paraId="5DD6DD6B" w14:textId="545C9E93">
      <w:pPr>
        <w:pStyle w:val="p2"/>
        <w:spacing w:before="0" w:beforeAutospacing="0" w:after="0" w:afterAutospacing="0"/>
        <w:jc w:val="both"/>
        <w:rPr>
          <w:rFonts w:ascii="Work Sans" w:hAnsi="Work Sans"/>
        </w:rPr>
      </w:pPr>
    </w:p>
    <w:p w:rsidRPr="00E1010D" w:rsidR="00806151" w:rsidP="001B547B" w:rsidRDefault="00806151" w14:paraId="475236D0" w14:textId="49A53617">
      <w:pPr>
        <w:pStyle w:val="p2"/>
        <w:spacing w:before="0" w:beforeAutospacing="0" w:after="0" w:afterAutospacing="0"/>
        <w:jc w:val="both"/>
        <w:rPr>
          <w:rFonts w:ascii="Work Sans" w:hAnsi="Work Sans"/>
        </w:rPr>
      </w:pPr>
      <w:r w:rsidRPr="00E1010D">
        <w:rPr>
          <w:rFonts w:ascii="Work Sans" w:hAnsi="Work Sans"/>
        </w:rPr>
        <w:t>Como parte de las actividades de monitoreo del sector eléctrico, se realizó seguimiento a actuaciones regulatorias y decisiones administrativas con potencial impacto sobre el funcionamiento del mercado mayorista de energía y las señales económicas que orientan la operación del sistema.</w:t>
      </w:r>
    </w:p>
    <w:p w:rsidR="00B61D02" w:rsidP="001B547B" w:rsidRDefault="00B61D02" w14:paraId="73F9E9A7" w14:textId="0BB65215">
      <w:pPr>
        <w:pStyle w:val="p3"/>
        <w:spacing w:before="0" w:beforeAutospacing="0" w:after="0" w:afterAutospacing="0"/>
        <w:jc w:val="both"/>
        <w:rPr>
          <w:rFonts w:ascii="Work Sans" w:hAnsi="Work Sans"/>
          <w:b/>
          <w:bCs/>
        </w:rPr>
      </w:pPr>
    </w:p>
    <w:p w:rsidRPr="00E1010D" w:rsidR="00806151" w:rsidP="001B547B" w:rsidRDefault="00806151" w14:paraId="380D9491" w14:textId="255EB5DB">
      <w:pPr>
        <w:pStyle w:val="p3"/>
        <w:spacing w:before="0" w:beforeAutospacing="0" w:after="0" w:afterAutospacing="0"/>
        <w:jc w:val="both"/>
        <w:rPr>
          <w:rFonts w:ascii="Work Sans" w:hAnsi="Work Sans"/>
        </w:rPr>
      </w:pPr>
      <w:r w:rsidRPr="00E1010D">
        <w:rPr>
          <w:rFonts w:ascii="Work Sans" w:hAnsi="Work Sans"/>
          <w:b/>
          <w:bCs/>
        </w:rPr>
        <w:t>Análisis de la Resolución SSPD 20262400322795</w:t>
      </w:r>
    </w:p>
    <w:p w:rsidR="00B61D02" w:rsidP="001B547B" w:rsidRDefault="00B61D02" w14:paraId="013C9CED" w14:textId="7ED0FE0C">
      <w:pPr>
        <w:pStyle w:val="p2"/>
        <w:spacing w:before="0" w:beforeAutospacing="0" w:after="0" w:afterAutospacing="0"/>
        <w:jc w:val="both"/>
        <w:rPr>
          <w:rFonts w:ascii="Work Sans" w:hAnsi="Work Sans"/>
        </w:rPr>
      </w:pPr>
    </w:p>
    <w:p w:rsidRPr="00122AD5" w:rsidR="001F341D" w:rsidP="00122AD5" w:rsidRDefault="00806151" w14:paraId="07E28DBF" w14:textId="4F0B6662">
      <w:pPr>
        <w:pStyle w:val="p2"/>
        <w:spacing w:before="0" w:beforeAutospacing="0" w:after="0" w:afterAutospacing="0"/>
        <w:jc w:val="both"/>
        <w:rPr>
          <w:rFonts w:ascii="Work Sans" w:hAnsi="Work Sans"/>
        </w:rPr>
      </w:pPr>
      <w:r w:rsidRPr="00E1010D">
        <w:rPr>
          <w:rFonts w:ascii="Work Sans" w:hAnsi="Work Sans"/>
        </w:rPr>
        <w:t>El Grupo elaboró un análisis técnico de la Resolución SSPD 20262400322795, mediante la cual la Superintendencia de Servicios Públicos Domiciliarios confirmó la sanción impuesta a ENEL Colombia por conductas asociadas a la formación de precios de oferta de la Central Hidroeléctrica Betania. El análisis permitió evaluar los antecedentes de la actuación administrativa, los efectos identificados sobre el funcionamiento del mercado y las implicaciones regulatorias derivadas de la decisión, aportando elementos técnicos para el seguimiento institucional de temas relacionados con la formación de precios y la eficiencia del despacho económico en el mercado eléctrico colombiano.</w:t>
      </w:r>
    </w:p>
    <w:p w:rsidRPr="00D07F05" w:rsidR="0057342C" w:rsidP="001B547B" w:rsidRDefault="0057342C" w14:paraId="6D64526A" w14:textId="2B502783">
      <w:pPr>
        <w:spacing w:line="259" w:lineRule="auto"/>
        <w:jc w:val="both"/>
        <w:rPr>
          <w:rFonts w:ascii="Work Sans" w:hAnsi="Work Sans" w:cs="Arial"/>
          <w:b/>
          <w:bCs/>
        </w:rPr>
      </w:pPr>
    </w:p>
    <w:p w:rsidRPr="00D137B6" w:rsidR="00361AF8" w:rsidP="00A373CF" w:rsidRDefault="00361AF8" w14:paraId="51ABF464" w14:textId="3EB379DC">
      <w:pPr>
        <w:pStyle w:val="Heading3"/>
        <w:numPr>
          <w:ilvl w:val="5"/>
          <w:numId w:val="9"/>
        </w:numPr>
        <w:spacing w:before="0" w:after="0"/>
        <w:jc w:val="both"/>
        <w:rPr>
          <w:rFonts w:ascii="Work Sans" w:hAnsi="Work Sans" w:cs="Arial"/>
          <w:sz w:val="24"/>
          <w:szCs w:val="24"/>
        </w:rPr>
      </w:pPr>
      <w:r w:rsidRPr="00D137B6">
        <w:rPr>
          <w:rFonts w:ascii="Work Sans" w:hAnsi="Work Sans" w:cs="Arial"/>
          <w:sz w:val="24"/>
          <w:szCs w:val="24"/>
        </w:rPr>
        <w:t>INFORMACION DE PROYECTOS DE T</w:t>
      </w:r>
      <w:r w:rsidRPr="00D137B6" w:rsidR="003D7AB8">
        <w:rPr>
          <w:rFonts w:ascii="Work Sans" w:hAnsi="Work Sans" w:cs="Arial"/>
          <w:sz w:val="24"/>
          <w:szCs w:val="24"/>
        </w:rPr>
        <w:t>R</w:t>
      </w:r>
      <w:r w:rsidRPr="00D137B6">
        <w:rPr>
          <w:rFonts w:ascii="Work Sans" w:hAnsi="Work Sans" w:cs="Arial"/>
          <w:sz w:val="24"/>
          <w:szCs w:val="24"/>
        </w:rPr>
        <w:t>ANSMISION Y CXC</w:t>
      </w:r>
    </w:p>
    <w:p w:rsidR="001F341D" w:rsidP="001B547B" w:rsidRDefault="001F341D" w14:paraId="43D4923F" w14:textId="2ED8C617">
      <w:pPr>
        <w:spacing w:line="259" w:lineRule="auto"/>
        <w:jc w:val="both"/>
        <w:rPr>
          <w:rFonts w:ascii="Work Sans" w:hAnsi="Work Sans" w:cs="Arial"/>
          <w:b/>
          <w:bCs/>
        </w:rPr>
      </w:pPr>
    </w:p>
    <w:p w:rsidRPr="00E1010D" w:rsidR="001F341D" w:rsidP="0346D696" w:rsidRDefault="62BFA67E" w14:paraId="1A0B61BE" w14:textId="746D9202">
      <w:pPr>
        <w:spacing w:line="259" w:lineRule="auto"/>
        <w:jc w:val="both"/>
        <w:rPr>
          <w:rFonts w:ascii="Work Sans" w:hAnsi="Work Sans" w:cs="Arial"/>
        </w:rPr>
      </w:pPr>
      <w:r w:rsidRPr="0346D696">
        <w:rPr>
          <w:rFonts w:ascii="Work Sans" w:hAnsi="Work Sans" w:cs="Arial"/>
        </w:rPr>
        <w:t>El Grupo de Gestión del Sector Eléctrico de la Dirección de Energía Eléctrica tiene a su cargo el monitoreo y seguimiento riguroso al estado de avance de los proyectos enfocados en la expansión del Sistema Interconectado Nacional (SIN), abarcando tanto el segmento de transmisión de energía como el de generación. Esta labor es fundamental para garantizar que la infraestructura del país crezca de manera armónica, oportuna y alineada con las proyecciones de demanda, asegurando así la confiabilidad, la estabilidad y la suficiencia del servicio a mediano y largo plazo en todo el territorio nacional.</w:t>
      </w:r>
    </w:p>
    <w:p w:rsidRPr="00E1010D" w:rsidR="001F341D" w:rsidP="0346D696" w:rsidRDefault="001F341D" w14:paraId="4B338460" w14:textId="1FE77531">
      <w:pPr>
        <w:spacing w:line="259" w:lineRule="auto"/>
        <w:jc w:val="both"/>
        <w:rPr>
          <w:rFonts w:ascii="Work Sans" w:hAnsi="Work Sans" w:cs="Arial"/>
        </w:rPr>
      </w:pPr>
    </w:p>
    <w:p w:rsidRPr="00E1010D" w:rsidR="001F341D" w:rsidP="0346D696" w:rsidRDefault="62BFA67E" w14:paraId="15D390A5" w14:textId="04D6003F">
      <w:pPr>
        <w:spacing w:line="259" w:lineRule="auto"/>
        <w:jc w:val="both"/>
        <w:rPr>
          <w:rFonts w:ascii="Work Sans" w:hAnsi="Work Sans" w:cs="Arial"/>
        </w:rPr>
      </w:pPr>
      <w:r w:rsidRPr="0346D696">
        <w:rPr>
          <w:rFonts w:ascii="Work Sans" w:hAnsi="Work Sans" w:cs="Arial"/>
        </w:rPr>
        <w:t xml:space="preserve">En lo correspondiente al segmento de transmisión, el grupo adelanta el levantamiento detallado de información y el seguimiento de los proyectos de transmisión asociados a los Planes de Expansión adoptados por la Unidad de Planeación Minero-Energética (UPME). Este proceso permite verificar el </w:t>
      </w:r>
      <w:r w:rsidRPr="449D02CA" w:rsidR="48B1B031">
        <w:rPr>
          <w:rFonts w:ascii="Work Sans" w:hAnsi="Work Sans" w:cs="Arial"/>
        </w:rPr>
        <w:t>c</w:t>
      </w:r>
      <w:r w:rsidRPr="449D02CA" w:rsidR="039AF2C8">
        <w:rPr>
          <w:rFonts w:ascii="Work Sans" w:hAnsi="Work Sans" w:cs="Arial"/>
        </w:rPr>
        <w:t>ontinuo avance</w:t>
      </w:r>
      <w:r w:rsidRPr="0346D696">
        <w:rPr>
          <w:rFonts w:ascii="Work Sans" w:hAnsi="Work Sans" w:cs="Arial"/>
        </w:rPr>
        <w:t xml:space="preserve"> de </w:t>
      </w:r>
      <w:r w:rsidRPr="449D02CA" w:rsidR="039AF2C8">
        <w:rPr>
          <w:rFonts w:ascii="Work Sans" w:hAnsi="Work Sans" w:cs="Arial"/>
        </w:rPr>
        <w:t xml:space="preserve">la adjudicación de </w:t>
      </w:r>
      <w:r w:rsidRPr="0346D696">
        <w:rPr>
          <w:rFonts w:ascii="Work Sans" w:hAnsi="Work Sans" w:cs="Arial"/>
        </w:rPr>
        <w:t xml:space="preserve">convocatorias </w:t>
      </w:r>
      <w:r w:rsidRPr="449D02CA" w:rsidR="48B1B031">
        <w:rPr>
          <w:rFonts w:ascii="Work Sans" w:hAnsi="Work Sans" w:cs="Arial"/>
        </w:rPr>
        <w:t>y</w:t>
      </w:r>
      <w:r w:rsidRPr="449D02CA" w:rsidR="1DDA7581">
        <w:rPr>
          <w:rFonts w:ascii="Work Sans" w:hAnsi="Work Sans" w:cs="Arial"/>
        </w:rPr>
        <w:t xml:space="preserve"> </w:t>
      </w:r>
      <w:r w:rsidRPr="48DB031C" w:rsidR="1DDA7581">
        <w:rPr>
          <w:rFonts w:ascii="Work Sans" w:hAnsi="Work Sans" w:cs="Arial"/>
        </w:rPr>
        <w:t>el desarrollo de</w:t>
      </w:r>
      <w:r w:rsidRPr="48DB031C" w:rsidR="48B1B031">
        <w:rPr>
          <w:rFonts w:ascii="Work Sans" w:hAnsi="Work Sans" w:cs="Arial"/>
        </w:rPr>
        <w:t xml:space="preserve"> </w:t>
      </w:r>
      <w:r w:rsidRPr="0346D696">
        <w:rPr>
          <w:rFonts w:ascii="Work Sans" w:hAnsi="Work Sans" w:cs="Arial"/>
        </w:rPr>
        <w:t>las obras de infraestructura de red</w:t>
      </w:r>
      <w:r w:rsidRPr="48DB031C" w:rsidR="1A61D931">
        <w:rPr>
          <w:rFonts w:ascii="Work Sans" w:hAnsi="Work Sans" w:cs="Arial"/>
        </w:rPr>
        <w:t xml:space="preserve">, </w:t>
      </w:r>
      <w:r w:rsidRPr="0346D696">
        <w:rPr>
          <w:rFonts w:ascii="Work Sans" w:hAnsi="Work Sans" w:cs="Arial"/>
        </w:rPr>
        <w:t>tanto del Sistema de Transmisión Nacional (STN) como del Sistema de Transmisión Regional (STR</w:t>
      </w:r>
      <w:r w:rsidRPr="48DB031C" w:rsidR="48B1B031">
        <w:rPr>
          <w:rFonts w:ascii="Work Sans" w:hAnsi="Work Sans" w:cs="Arial"/>
        </w:rPr>
        <w:t>),</w:t>
      </w:r>
      <w:r w:rsidRPr="0346D696">
        <w:rPr>
          <w:rFonts w:ascii="Work Sans" w:hAnsi="Work Sans" w:cs="Arial"/>
        </w:rPr>
        <w:t xml:space="preserve"> identificando de manera temprana posibles desviaciones u obstáculos en la ejecución de las líneas y subestaciones que resultan críticas para la interconexión regional</w:t>
      </w:r>
      <w:r w:rsidRPr="48DB031C" w:rsidR="09DC4B75">
        <w:rPr>
          <w:rFonts w:ascii="Work Sans" w:hAnsi="Work Sans" w:cs="Arial"/>
        </w:rPr>
        <w:t xml:space="preserve"> y nacional</w:t>
      </w:r>
      <w:r w:rsidRPr="0346D696">
        <w:rPr>
          <w:rFonts w:ascii="Work Sans" w:hAnsi="Work Sans" w:cs="Arial"/>
        </w:rPr>
        <w:t>.</w:t>
      </w:r>
    </w:p>
    <w:p w:rsidRPr="00E1010D" w:rsidR="001F341D" w:rsidP="0346D696" w:rsidRDefault="001F341D" w14:paraId="4384E22B" w14:textId="4A5248C3">
      <w:pPr>
        <w:spacing w:line="259" w:lineRule="auto"/>
        <w:jc w:val="both"/>
        <w:rPr>
          <w:rFonts w:ascii="Work Sans" w:hAnsi="Work Sans" w:cs="Arial"/>
        </w:rPr>
      </w:pPr>
    </w:p>
    <w:p w:rsidRPr="00E86DE3" w:rsidR="001F341D" w:rsidP="001B547B" w:rsidRDefault="62BFA67E" w14:paraId="61BD2BEE" w14:textId="7143288D">
      <w:pPr>
        <w:spacing w:line="259" w:lineRule="auto"/>
        <w:jc w:val="both"/>
        <w:rPr>
          <w:rFonts w:ascii="Work Sans" w:hAnsi="Work Sans" w:cs="Arial"/>
        </w:rPr>
      </w:pPr>
      <w:r w:rsidRPr="0346D696">
        <w:rPr>
          <w:rFonts w:ascii="Work Sans" w:hAnsi="Work Sans" w:cs="Arial"/>
        </w:rPr>
        <w:t>Como resultado de esta gestión, se desarrollaron bases de datos consolidadas y centralizadas que agrupan la información de la totalidad de los proyectos identificados en ambos segmentos. Estas herramientas dinámicas se mantienen en constante actualización de acuerdo con los avances y reportes constructivos de cada iniciativa, constituyéndose en un insumo técnico de alto valor para el seguimiento de la expansión del sistema y en la base analítica para la toma de decisiones sectoriales y la formulación de política pública.</w:t>
      </w:r>
    </w:p>
    <w:p w:rsidRPr="00244160" w:rsidR="00C75528" w:rsidP="00244160" w:rsidRDefault="00C75528" w14:paraId="71C08B84" w14:textId="77777777">
      <w:pPr>
        <w:spacing w:line="259" w:lineRule="auto"/>
        <w:jc w:val="both"/>
        <w:rPr>
          <w:rFonts w:ascii="Work Sans" w:hAnsi="Work Sans" w:cs="Arial"/>
          <w:b/>
          <w:bCs/>
        </w:rPr>
      </w:pPr>
    </w:p>
    <w:p w:rsidRPr="00E1010D" w:rsidR="00C75528" w:rsidP="003A5580" w:rsidRDefault="00C75528" w14:paraId="7B085AE3" w14:textId="12A5EB46">
      <w:pPr>
        <w:pStyle w:val="Heading3"/>
        <w:numPr>
          <w:ilvl w:val="4"/>
          <w:numId w:val="9"/>
        </w:numPr>
        <w:tabs>
          <w:tab w:val="num" w:pos="360"/>
        </w:tabs>
        <w:spacing w:before="0" w:after="0"/>
        <w:jc w:val="both"/>
        <w:rPr>
          <w:rFonts w:ascii="Work Sans" w:hAnsi="Work Sans" w:cs="Arial"/>
          <w:sz w:val="24"/>
          <w:szCs w:val="24"/>
        </w:rPr>
      </w:pPr>
      <w:r w:rsidRPr="00E1010D">
        <w:rPr>
          <w:rFonts w:ascii="Work Sans" w:hAnsi="Work Sans" w:cs="Arial"/>
          <w:sz w:val="24"/>
          <w:szCs w:val="24"/>
        </w:rPr>
        <w:t>RELACIONAMIENTO INSTITUCIONAL</w:t>
      </w:r>
    </w:p>
    <w:p w:rsidRPr="00E1010D" w:rsidR="0005084D" w:rsidP="001B547B" w:rsidRDefault="0005084D" w14:paraId="5F20257D" w14:textId="77777777">
      <w:pPr>
        <w:pStyle w:val="p2"/>
        <w:spacing w:before="0" w:beforeAutospacing="0" w:after="0" w:afterAutospacing="0"/>
        <w:jc w:val="both"/>
        <w:rPr>
          <w:rFonts w:ascii="Work Sans" w:hAnsi="Work Sans"/>
        </w:rPr>
      </w:pPr>
    </w:p>
    <w:p w:rsidRPr="00E1010D" w:rsidR="00B4075B" w:rsidP="00DA1F63" w:rsidRDefault="00B4075B" w14:paraId="02611D80" w14:textId="20E2D8E2">
      <w:pPr>
        <w:pStyle w:val="Heading3"/>
        <w:numPr>
          <w:ilvl w:val="5"/>
          <w:numId w:val="9"/>
        </w:numPr>
        <w:tabs>
          <w:tab w:val="num" w:pos="360"/>
        </w:tabs>
        <w:spacing w:before="0" w:after="0"/>
        <w:jc w:val="both"/>
        <w:rPr>
          <w:rFonts w:ascii="Work Sans" w:hAnsi="Work Sans" w:cs="Arial"/>
          <w:sz w:val="24"/>
          <w:szCs w:val="24"/>
        </w:rPr>
      </w:pPr>
      <w:r w:rsidRPr="00E1010D">
        <w:rPr>
          <w:rFonts w:ascii="Work Sans" w:hAnsi="Work Sans" w:cs="Arial"/>
          <w:sz w:val="24"/>
          <w:szCs w:val="24"/>
        </w:rPr>
        <w:t>Soporte técnico y estratégico para la representación institucional del Ministerio</w:t>
      </w:r>
    </w:p>
    <w:p w:rsidRPr="00E1010D" w:rsidR="00C75528" w:rsidP="001B547B" w:rsidRDefault="00C75528" w14:paraId="1C76CB90" w14:textId="77777777">
      <w:pPr>
        <w:spacing w:line="259" w:lineRule="auto"/>
        <w:jc w:val="both"/>
        <w:rPr>
          <w:rFonts w:ascii="Work Sans" w:hAnsi="Work Sans" w:cs="Arial"/>
          <w:b/>
          <w:bCs/>
        </w:rPr>
      </w:pPr>
    </w:p>
    <w:p w:rsidRPr="00E1010D" w:rsidR="006D600B" w:rsidP="001B547B" w:rsidRDefault="002802E9" w14:paraId="21A85BCA" w14:textId="3F329CF0">
      <w:pPr>
        <w:pStyle w:val="p1"/>
        <w:spacing w:before="0" w:beforeAutospacing="0" w:after="0" w:afterAutospacing="0"/>
        <w:jc w:val="both"/>
        <w:rPr>
          <w:rFonts w:ascii="Work Sans" w:hAnsi="Work Sans"/>
        </w:rPr>
      </w:pPr>
      <w:r w:rsidRPr="00E1010D">
        <w:rPr>
          <w:rFonts w:ascii="Work Sans" w:hAnsi="Work Sans"/>
        </w:rPr>
        <w:t>E</w:t>
      </w:r>
      <w:r w:rsidRPr="00E1010D" w:rsidR="006D600B">
        <w:rPr>
          <w:rFonts w:ascii="Work Sans" w:hAnsi="Work Sans"/>
        </w:rPr>
        <w:t>l Grupo de Gestión del Sector Eléctrico Colombiano brindó soporte técnico y estratégico para la participación institucional del Ministerio de Minas y Energía en diferentes espacios de discusión sobre transición energética, descarbonización y desarrollo sostenible del sector energético. Como parte de esta labor, se elaboraron documentos técnicos que consolidaron información sectorial, avances regulatorios, cifras de seguimiento y elementos de política pública requeridos para la preparación de intervenciones de los directivos de la entidad en escenarios especializados.</w:t>
      </w:r>
    </w:p>
    <w:p w:rsidRPr="00E1010D" w:rsidR="006D600B" w:rsidP="001B547B" w:rsidRDefault="006D600B" w14:paraId="52D608AF" w14:textId="77777777">
      <w:pPr>
        <w:pStyle w:val="p1"/>
        <w:spacing w:before="0" w:beforeAutospacing="0" w:after="0" w:afterAutospacing="0"/>
        <w:jc w:val="both"/>
        <w:rPr>
          <w:rFonts w:ascii="Work Sans" w:hAnsi="Work Sans"/>
        </w:rPr>
      </w:pPr>
    </w:p>
    <w:p w:rsidRPr="00E1010D" w:rsidR="006D600B" w:rsidP="001B547B" w:rsidRDefault="006D600B" w14:paraId="7817F32B" w14:textId="77777777">
      <w:pPr>
        <w:pStyle w:val="p1"/>
        <w:spacing w:before="0" w:beforeAutospacing="0" w:after="0" w:afterAutospacing="0"/>
        <w:jc w:val="both"/>
        <w:rPr>
          <w:rFonts w:ascii="Work Sans" w:hAnsi="Work Sans"/>
        </w:rPr>
      </w:pPr>
      <w:r w:rsidRPr="00E1010D">
        <w:rPr>
          <w:rFonts w:ascii="Work Sans" w:hAnsi="Work Sans"/>
        </w:rPr>
        <w:t>En el marco del panel “Descarbonización de la Matriz Energética de Colombia”, realizado en abril de 2026, se construyeron los insumos técnicos relacionados con la Hoja de Ruta para la Transición Energética Justa, el Plan Energético Nacional y las estrategias de descarbonización de los sectores transporte, industria y generación eléctrica. Asimismo, se consolidó información sobre las tecnologías priorizadas para la transición energética, incluyendo energías renovables, hidrógeno de bajas emisiones, almacenamiento de energía, electrificación de la demanda y combustibles sostenibles, así como los principales retos asociados a la seguridad energética, la reducción de emisiones y la competitividad económica.</w:t>
      </w:r>
    </w:p>
    <w:p w:rsidRPr="00E1010D" w:rsidR="006D600B" w:rsidP="001B547B" w:rsidRDefault="006D600B" w14:paraId="49D8B168" w14:textId="77777777">
      <w:pPr>
        <w:pStyle w:val="p1"/>
        <w:spacing w:before="0" w:beforeAutospacing="0" w:after="0" w:afterAutospacing="0"/>
        <w:jc w:val="both"/>
        <w:rPr>
          <w:rFonts w:ascii="Work Sans" w:hAnsi="Work Sans"/>
        </w:rPr>
      </w:pPr>
    </w:p>
    <w:p w:rsidRPr="00E1010D" w:rsidR="006D600B" w:rsidP="001B547B" w:rsidRDefault="006D600B" w14:paraId="191AB521" w14:textId="77777777">
      <w:pPr>
        <w:pStyle w:val="p1"/>
        <w:spacing w:before="0" w:beforeAutospacing="0" w:after="0" w:afterAutospacing="0"/>
        <w:jc w:val="both"/>
        <w:rPr>
          <w:rFonts w:ascii="Work Sans" w:hAnsi="Work Sans"/>
        </w:rPr>
      </w:pPr>
      <w:r w:rsidRPr="00E1010D">
        <w:rPr>
          <w:rFonts w:ascii="Work Sans" w:hAnsi="Work Sans"/>
        </w:rPr>
        <w:t>De igual forma, se prepararon los insumos técnicos para la participación del Viceministerio en el panel desarrollado en la ciudad de Santa Marta, orientado al análisis de los desafíos para el desarrollo de energías limpias y la atracción de inversión en el sector energético. Los documentos elaborados abordaron aspectos relacionados con las barreras regulatorias, financieras y de infraestructura para el despliegue de proyectos de Fuentes No Convencionales de Energía Renovable, las acciones adelantadas por el Gobierno Nacional para superar dichas limitaciones, la articulación entre política fiscal y política energética, y los mecanismos de cooperación internacional requeridos para acelerar la transición energética en Colombia.</w:t>
      </w:r>
    </w:p>
    <w:p w:rsidRPr="00E1010D" w:rsidR="006D600B" w:rsidP="001B547B" w:rsidRDefault="006D600B" w14:paraId="30A37E5E" w14:textId="77777777">
      <w:pPr>
        <w:pStyle w:val="p1"/>
        <w:spacing w:before="0" w:beforeAutospacing="0" w:after="0" w:afterAutospacing="0"/>
        <w:jc w:val="both"/>
        <w:rPr>
          <w:rFonts w:ascii="Work Sans" w:hAnsi="Work Sans"/>
        </w:rPr>
      </w:pPr>
    </w:p>
    <w:p w:rsidRPr="00E1010D" w:rsidR="006D600B" w:rsidP="001B547B" w:rsidRDefault="006D600B" w14:paraId="0B33ABA7" w14:textId="77777777">
      <w:pPr>
        <w:pStyle w:val="p1"/>
        <w:spacing w:before="0" w:beforeAutospacing="0" w:after="0" w:afterAutospacing="0"/>
        <w:jc w:val="both"/>
        <w:rPr>
          <w:rFonts w:ascii="Work Sans" w:hAnsi="Work Sans"/>
        </w:rPr>
      </w:pPr>
      <w:r w:rsidRPr="00E1010D">
        <w:rPr>
          <w:rFonts w:ascii="Work Sans" w:hAnsi="Work Sans"/>
        </w:rPr>
        <w:t>Adicionalmente, se elaboraron insumos para la participación institucional en un espacio de discusión enfocado en la transición energética justa y la adaptación al cambio climático, en el cual se consolidó información relacionada con la Estrategia 6GW+, el programa Colombia Solar, las Comunidades Energéticas y las acciones orientadas a fortalecer la resiliencia del sistema energético nacional. Estos insumos permitieron presentar los avances del país en materia de democratización energética, diversificación de la matriz de generación, fortalecimiento de la infraestructura eléctrica y articulación interinstitucional para la implementación de la política energética nacional.</w:t>
      </w:r>
    </w:p>
    <w:p w:rsidRPr="00E1010D" w:rsidR="00EC529A" w:rsidP="001B547B" w:rsidRDefault="00EC529A" w14:paraId="30F8375E" w14:textId="77777777">
      <w:pPr>
        <w:jc w:val="both"/>
        <w:rPr>
          <w:rFonts w:ascii="Work Sans" w:hAnsi="Work Sans"/>
        </w:rPr>
      </w:pPr>
    </w:p>
    <w:p w:rsidRPr="00E1010D" w:rsidR="00B61A36" w:rsidP="00FC3615" w:rsidRDefault="00B61A36" w14:paraId="439A3E44" w14:textId="4AC5664D">
      <w:pPr>
        <w:pStyle w:val="Heading3"/>
        <w:numPr>
          <w:ilvl w:val="3"/>
          <w:numId w:val="9"/>
        </w:numPr>
        <w:tabs>
          <w:tab w:val="num" w:pos="360"/>
        </w:tabs>
        <w:spacing w:before="0" w:after="0"/>
        <w:jc w:val="both"/>
        <w:rPr>
          <w:rFonts w:ascii="Work Sans" w:hAnsi="Work Sans" w:cs="Arial"/>
          <w:sz w:val="24"/>
          <w:szCs w:val="24"/>
        </w:rPr>
      </w:pPr>
      <w:r>
        <w:rPr>
          <w:rFonts w:ascii="Work Sans" w:hAnsi="Work Sans" w:cs="Arial"/>
          <w:sz w:val="24"/>
          <w:szCs w:val="24"/>
        </w:rPr>
        <w:t xml:space="preserve">O – </w:t>
      </w:r>
      <w:proofErr w:type="spellStart"/>
      <w:r>
        <w:rPr>
          <w:rFonts w:ascii="Work Sans" w:hAnsi="Work Sans" w:cs="Arial"/>
          <w:sz w:val="24"/>
          <w:szCs w:val="24"/>
        </w:rPr>
        <w:t>Options</w:t>
      </w:r>
      <w:proofErr w:type="spellEnd"/>
      <w:r>
        <w:rPr>
          <w:rFonts w:ascii="Work Sans" w:hAnsi="Work Sans" w:cs="Arial"/>
          <w:sz w:val="24"/>
          <w:szCs w:val="24"/>
        </w:rPr>
        <w:t xml:space="preserve"> – Opciones/Alternativas</w:t>
      </w:r>
    </w:p>
    <w:p w:rsidRPr="005F40A5" w:rsidR="005F40A5" w:rsidP="005F40A5" w:rsidRDefault="005F40A5" w14:paraId="384053A5" w14:textId="77777777">
      <w:pPr>
        <w:jc w:val="both"/>
        <w:rPr>
          <w:rFonts w:ascii="Work Sans" w:hAnsi="Work Sans" w:cs="Arial"/>
        </w:rPr>
      </w:pPr>
    </w:p>
    <w:p w:rsidRPr="005F40A5" w:rsidR="005F40A5" w:rsidP="005F40A5" w:rsidRDefault="005F40A5" w14:paraId="16D5B3E4" w14:textId="77777777">
      <w:pPr>
        <w:jc w:val="both"/>
        <w:rPr>
          <w:rFonts w:ascii="Work Sans" w:hAnsi="Work Sans" w:cs="Arial"/>
        </w:rPr>
      </w:pPr>
      <w:r w:rsidRPr="005F40A5">
        <w:rPr>
          <w:rFonts w:ascii="Work Sans" w:hAnsi="Work Sans" w:cs="Arial"/>
        </w:rPr>
        <w:t>A partir de los resultados obtenidos y del seguimiento realizado a las principales variables del sector eléctrico durante el periodo de gestión, se identifican oportunidades de fortalecimiento institucional orientadas a consolidar las capacidades de monitoreo, análisis sectorial y apoyo a la formulación de política pública del Ministerio de Minas y Energía. Estas oportunidades buscan fortalecer la capacidad de anticipación frente a riesgos para la confiabilidad energética, mejorar el seguimiento a proyectos estratégicos y profundizar el análisis técnico requerido para la toma de decisiones sectoriales.</w:t>
      </w:r>
    </w:p>
    <w:p w:rsidRPr="005F40A5" w:rsidR="005F40A5" w:rsidP="005F40A5" w:rsidRDefault="005F40A5" w14:paraId="1F62E83A" w14:textId="77777777">
      <w:pPr>
        <w:jc w:val="both"/>
        <w:rPr>
          <w:rFonts w:ascii="Work Sans" w:hAnsi="Work Sans" w:cs="Arial"/>
        </w:rPr>
      </w:pPr>
    </w:p>
    <w:p w:rsidRPr="007412D4" w:rsidR="005F40A5" w:rsidP="005D2311" w:rsidRDefault="005F40A5" w14:paraId="3073CDF7" w14:textId="0C89DDA2">
      <w:pPr>
        <w:pStyle w:val="ListParagraph"/>
        <w:numPr>
          <w:ilvl w:val="0"/>
          <w:numId w:val="16"/>
        </w:numPr>
        <w:jc w:val="both"/>
        <w:rPr>
          <w:rFonts w:ascii="Work Sans" w:hAnsi="Work Sans" w:cs="Arial"/>
          <w:b/>
          <w:bCs/>
        </w:rPr>
      </w:pPr>
      <w:r w:rsidRPr="007412D4">
        <w:rPr>
          <w:rFonts w:ascii="Work Sans" w:hAnsi="Work Sans" w:cs="Arial"/>
          <w:b/>
          <w:bCs/>
        </w:rPr>
        <w:t>Fortalecimiento de las herramientas de monitoreo y seguimiento sectorial</w:t>
      </w:r>
    </w:p>
    <w:p w:rsidRPr="005F40A5" w:rsidR="005F40A5" w:rsidP="005F40A5" w:rsidRDefault="005F40A5" w14:paraId="65B14EDA" w14:textId="77777777">
      <w:pPr>
        <w:jc w:val="both"/>
        <w:rPr>
          <w:rFonts w:ascii="Work Sans" w:hAnsi="Work Sans" w:cs="Arial"/>
        </w:rPr>
      </w:pPr>
    </w:p>
    <w:p w:rsidRPr="005F40A5" w:rsidR="005F40A5" w:rsidP="005F40A5" w:rsidRDefault="005F40A5" w14:paraId="5E2ADE08" w14:textId="77777777">
      <w:pPr>
        <w:jc w:val="both"/>
        <w:rPr>
          <w:rFonts w:ascii="Work Sans" w:hAnsi="Work Sans" w:cs="Arial"/>
        </w:rPr>
      </w:pPr>
      <w:r w:rsidRPr="005F40A5">
        <w:rPr>
          <w:rFonts w:ascii="Work Sans" w:hAnsi="Work Sans" w:cs="Arial"/>
        </w:rPr>
        <w:t>Consolidar y automatizar las herramientas de seguimiento desarrolladas por el Grupo para el monitoreo de variables energéticas, proyectos estratégicos, indicadores de confiabilidad, expansión del sistema y avance de la transición energética. Esto permitiría disponer de información más oportuna para la toma de decisiones y fortalecer los mecanismos de seguimiento institucional.</w:t>
      </w:r>
    </w:p>
    <w:p w:rsidRPr="005F40A5" w:rsidR="005F40A5" w:rsidP="005F40A5" w:rsidRDefault="005F40A5" w14:paraId="7CFBCC97" w14:textId="77777777">
      <w:pPr>
        <w:jc w:val="both"/>
        <w:rPr>
          <w:rFonts w:ascii="Work Sans" w:hAnsi="Work Sans" w:cs="Arial"/>
        </w:rPr>
      </w:pPr>
    </w:p>
    <w:p w:rsidRPr="00634058" w:rsidR="005F40A5" w:rsidP="00634058" w:rsidRDefault="005F40A5" w14:paraId="62E4C24D" w14:textId="1E7EB56A">
      <w:pPr>
        <w:pStyle w:val="ListParagraph"/>
        <w:numPr>
          <w:ilvl w:val="0"/>
          <w:numId w:val="16"/>
        </w:numPr>
        <w:jc w:val="both"/>
        <w:rPr>
          <w:rFonts w:ascii="Work Sans" w:hAnsi="Work Sans" w:cs="Arial"/>
          <w:b/>
          <w:bCs/>
        </w:rPr>
      </w:pPr>
      <w:r w:rsidRPr="00634058">
        <w:rPr>
          <w:rFonts w:ascii="Work Sans" w:hAnsi="Work Sans" w:cs="Arial"/>
          <w:b/>
          <w:bCs/>
        </w:rPr>
        <w:t>Fortalecimiento del seguimiento a proyectos estratégicos de generación y transmisión</w:t>
      </w:r>
    </w:p>
    <w:p w:rsidRPr="005F40A5" w:rsidR="005F40A5" w:rsidP="005F40A5" w:rsidRDefault="005F40A5" w14:paraId="7CFEF124" w14:textId="77777777">
      <w:pPr>
        <w:jc w:val="both"/>
        <w:rPr>
          <w:rFonts w:ascii="Work Sans" w:hAnsi="Work Sans" w:cs="Arial"/>
        </w:rPr>
      </w:pPr>
    </w:p>
    <w:p w:rsidRPr="005F40A5" w:rsidR="005F40A5" w:rsidP="005F40A5" w:rsidRDefault="005F40A5" w14:paraId="5B75E4DE" w14:textId="77777777">
      <w:pPr>
        <w:jc w:val="both"/>
        <w:rPr>
          <w:rFonts w:ascii="Work Sans" w:hAnsi="Work Sans" w:cs="Arial"/>
        </w:rPr>
      </w:pPr>
      <w:r w:rsidRPr="005F40A5">
        <w:rPr>
          <w:rFonts w:ascii="Work Sans" w:hAnsi="Work Sans" w:cs="Arial"/>
        </w:rPr>
        <w:t>Profundizar el seguimiento a los proyectos estratégicos del sector eléctrico, especialmente aquellos relacionados con la incorporación de Fuentes No Convencionales de Energía Renovable, la expansión de la red de transmisión y los proyectos priorizados para fortalecer la seguridad energética del país. Este seguimiento permitiría identificar oportunamente riesgos para su entrada en operación y apoyar la adopción de medidas orientadas a reducir retrasos en su ejecución.</w:t>
      </w:r>
    </w:p>
    <w:p w:rsidRPr="005F40A5" w:rsidR="005F40A5" w:rsidP="005F40A5" w:rsidRDefault="005F40A5" w14:paraId="54D9FCFA" w14:textId="77777777">
      <w:pPr>
        <w:jc w:val="both"/>
        <w:rPr>
          <w:rFonts w:ascii="Work Sans" w:hAnsi="Work Sans" w:cs="Arial"/>
        </w:rPr>
      </w:pPr>
    </w:p>
    <w:p w:rsidRPr="005F40A5" w:rsidR="005F40A5" w:rsidP="005F40A5" w:rsidRDefault="003C7DBC" w14:paraId="4AA37C6E" w14:textId="1B78B81D">
      <w:pPr>
        <w:jc w:val="both"/>
        <w:rPr>
          <w:rFonts w:ascii="Work Sans" w:hAnsi="Work Sans" w:cs="Arial"/>
        </w:rPr>
      </w:pPr>
      <w:r>
        <w:rPr>
          <w:rFonts w:ascii="Work Sans" w:hAnsi="Work Sans" w:cs="Arial"/>
        </w:rPr>
        <w:t>Esto incluye la c</w:t>
      </w:r>
      <w:r w:rsidRPr="005F40A5" w:rsidR="005F40A5">
        <w:rPr>
          <w:rFonts w:ascii="Work Sans" w:hAnsi="Work Sans" w:cs="Arial"/>
        </w:rPr>
        <w:t>onsolidación de mecanismos de seguimiento a la Estrategia 6GW+ y a las metas de transición energética</w:t>
      </w:r>
      <w:r>
        <w:rPr>
          <w:rFonts w:ascii="Work Sans" w:hAnsi="Work Sans" w:cs="Arial"/>
        </w:rPr>
        <w:t xml:space="preserve">, además de </w:t>
      </w:r>
      <w:r w:rsidRPr="005F40A5" w:rsidR="005F40A5">
        <w:rPr>
          <w:rFonts w:ascii="Work Sans" w:hAnsi="Work Sans" w:cs="Arial"/>
        </w:rPr>
        <w:t>análisis asociados a la incorporación de sistemas de almacenamiento de energía y demás iniciativas vinculadas a la transición energética, con el fin de contar con información actualizada sobre el avance de las metas sectoriales y los factores que puedan afectar su cumplimiento.</w:t>
      </w:r>
    </w:p>
    <w:p w:rsidRPr="005F40A5" w:rsidR="005F40A5" w:rsidP="005F40A5" w:rsidRDefault="005F40A5" w14:paraId="7CE95968" w14:textId="77777777">
      <w:pPr>
        <w:jc w:val="both"/>
        <w:rPr>
          <w:rFonts w:ascii="Work Sans" w:hAnsi="Work Sans" w:cs="Arial"/>
        </w:rPr>
      </w:pPr>
    </w:p>
    <w:p w:rsidRPr="00C34646" w:rsidR="005F40A5" w:rsidP="00C34646" w:rsidRDefault="005F40A5" w14:paraId="1F17D5A2" w14:textId="74925CA8">
      <w:pPr>
        <w:pStyle w:val="ListParagraph"/>
        <w:numPr>
          <w:ilvl w:val="0"/>
          <w:numId w:val="16"/>
        </w:numPr>
        <w:jc w:val="both"/>
        <w:rPr>
          <w:rFonts w:ascii="Work Sans" w:hAnsi="Work Sans" w:cs="Arial"/>
          <w:b/>
          <w:bCs/>
        </w:rPr>
      </w:pPr>
      <w:r w:rsidRPr="00C34646">
        <w:rPr>
          <w:rFonts w:ascii="Work Sans" w:hAnsi="Work Sans" w:cs="Arial"/>
          <w:b/>
          <w:bCs/>
        </w:rPr>
        <w:t>Desarrollo de análisis prospectivos para la seguridad energética</w:t>
      </w:r>
    </w:p>
    <w:p w:rsidRPr="005F40A5" w:rsidR="005F40A5" w:rsidP="005F40A5" w:rsidRDefault="005F40A5" w14:paraId="706B5C13" w14:textId="77777777">
      <w:pPr>
        <w:jc w:val="both"/>
        <w:rPr>
          <w:rFonts w:ascii="Work Sans" w:hAnsi="Work Sans" w:cs="Arial"/>
        </w:rPr>
      </w:pPr>
    </w:p>
    <w:p w:rsidRPr="005F40A5" w:rsidR="005F40A5" w:rsidP="005F40A5" w:rsidRDefault="005F40A5" w14:paraId="61B835E4" w14:textId="77777777">
      <w:pPr>
        <w:jc w:val="both"/>
        <w:rPr>
          <w:rFonts w:ascii="Work Sans" w:hAnsi="Work Sans" w:cs="Arial"/>
        </w:rPr>
      </w:pPr>
      <w:r w:rsidRPr="005F40A5">
        <w:rPr>
          <w:rFonts w:ascii="Work Sans" w:hAnsi="Work Sans" w:cs="Arial"/>
        </w:rPr>
        <w:t>Promover la elaboración de análisis prospectivos sobre suficiencia energética, crecimiento de la demanda, expansión de infraestructura, escenarios climáticos y evolución de la matriz energética, con el propósito de fortalecer la capacidad institucional para evaluar riesgos de mediano y largo plazo y apoyar la formulación de política pública basada en evidencia técnica.</w:t>
      </w:r>
    </w:p>
    <w:p w:rsidRPr="005F40A5" w:rsidR="005F40A5" w:rsidP="005F40A5" w:rsidRDefault="005F40A5" w14:paraId="72F868BB" w14:textId="77777777">
      <w:pPr>
        <w:jc w:val="both"/>
        <w:rPr>
          <w:rFonts w:ascii="Work Sans" w:hAnsi="Work Sans" w:cs="Arial"/>
        </w:rPr>
      </w:pPr>
    </w:p>
    <w:p w:rsidRPr="00D92A44" w:rsidR="005F40A5" w:rsidP="00D92A44" w:rsidRDefault="005F40A5" w14:paraId="3ED6C645" w14:textId="056400C4">
      <w:pPr>
        <w:pStyle w:val="ListParagraph"/>
        <w:numPr>
          <w:ilvl w:val="0"/>
          <w:numId w:val="16"/>
        </w:numPr>
        <w:jc w:val="both"/>
        <w:rPr>
          <w:rFonts w:ascii="Work Sans" w:hAnsi="Work Sans" w:cs="Arial"/>
          <w:b/>
          <w:bCs/>
        </w:rPr>
      </w:pPr>
      <w:r w:rsidRPr="00D92A44">
        <w:rPr>
          <w:rFonts w:ascii="Work Sans" w:hAnsi="Work Sans" w:cs="Arial"/>
          <w:b/>
          <w:bCs/>
        </w:rPr>
        <w:t>Fortalecimiento de la articulación técnica con entidades y agentes del sector</w:t>
      </w:r>
    </w:p>
    <w:p w:rsidRPr="005F40A5" w:rsidR="005F40A5" w:rsidP="005F40A5" w:rsidRDefault="005F40A5" w14:paraId="508113F7" w14:textId="77777777">
      <w:pPr>
        <w:jc w:val="both"/>
        <w:rPr>
          <w:rFonts w:ascii="Work Sans" w:hAnsi="Work Sans" w:cs="Arial"/>
        </w:rPr>
      </w:pPr>
    </w:p>
    <w:p w:rsidR="00082D3C" w:rsidP="005F40A5" w:rsidRDefault="005F40A5" w14:paraId="5F4BEE37" w14:textId="5DC4AEEF">
      <w:pPr>
        <w:jc w:val="both"/>
        <w:rPr>
          <w:rFonts w:ascii="Work Sans" w:hAnsi="Work Sans" w:cs="Arial"/>
        </w:rPr>
      </w:pPr>
      <w:r w:rsidRPr="005F40A5">
        <w:rPr>
          <w:rFonts w:ascii="Work Sans" w:hAnsi="Work Sans" w:cs="Arial"/>
        </w:rPr>
        <w:t>Continuar fortaleciendo los espacios de intercambio técnico con entidades como la UPME, XM, CREG, IPSE y demás actores del sector eléctrico, con el propósito de consolidar información estratégica para el seguimiento de proyectos, la identificación de riesgos sectoriales y la evaluación de alternativas para mejorar la confiabilidad y sostenibilidad del sistema eléctrico colombiano.</w:t>
      </w:r>
    </w:p>
    <w:p w:rsidRPr="00E1010D" w:rsidR="00082D3C" w:rsidP="00775BD7" w:rsidRDefault="00082D3C" w14:paraId="485B71FA" w14:textId="33B74C33">
      <w:pPr>
        <w:pStyle w:val="Heading3"/>
        <w:numPr>
          <w:ilvl w:val="3"/>
          <w:numId w:val="9"/>
        </w:numPr>
        <w:tabs>
          <w:tab w:val="num" w:pos="360"/>
        </w:tabs>
        <w:spacing w:before="0" w:after="0"/>
        <w:jc w:val="both"/>
        <w:rPr>
          <w:rFonts w:ascii="Work Sans" w:hAnsi="Work Sans" w:cs="Arial"/>
          <w:sz w:val="24"/>
          <w:szCs w:val="24"/>
        </w:rPr>
      </w:pPr>
      <w:r>
        <w:rPr>
          <w:rFonts w:ascii="Work Sans" w:hAnsi="Work Sans" w:cs="Arial"/>
          <w:sz w:val="24"/>
          <w:szCs w:val="24"/>
        </w:rPr>
        <w:t>W – Will – Voluntad y Compromisos</w:t>
      </w:r>
    </w:p>
    <w:p w:rsidRPr="00F43235" w:rsidR="00F43235" w:rsidP="00F43235" w:rsidRDefault="00F43235" w14:paraId="1B4345C1" w14:textId="77777777">
      <w:pPr>
        <w:jc w:val="both"/>
        <w:rPr>
          <w:rFonts w:ascii="Work Sans" w:hAnsi="Work Sans" w:cs="Arial"/>
        </w:rPr>
      </w:pPr>
    </w:p>
    <w:p w:rsidRPr="00F43235" w:rsidR="00F43235" w:rsidP="00F43235" w:rsidRDefault="00F43235" w14:paraId="7ED7C4AB" w14:textId="77777777">
      <w:pPr>
        <w:jc w:val="both"/>
        <w:rPr>
          <w:rFonts w:ascii="Work Sans" w:hAnsi="Work Sans" w:cs="Arial"/>
        </w:rPr>
      </w:pPr>
      <w:r w:rsidRPr="00F43235">
        <w:rPr>
          <w:rFonts w:ascii="Work Sans" w:hAnsi="Work Sans" w:cs="Arial"/>
        </w:rPr>
        <w:t>Con el fin de garantizar la continuidad de los procesos estratégicos del sector eléctrico y mantener la capacidad institucional para el seguimiento de la política pública energética, se recomienda dar continuidad a las siguientes líneas de gestión que han demostrado ser fundamentales para la toma de decisiones, el monitoreo sectorial y la identificación temprana de riesgos para la seguridad energética del país.</w:t>
      </w:r>
    </w:p>
    <w:p w:rsidRPr="00E1037C" w:rsidR="00F43235" w:rsidP="00F43235" w:rsidRDefault="00F43235" w14:paraId="36A0BFDE" w14:textId="77777777">
      <w:pPr>
        <w:jc w:val="both"/>
        <w:rPr>
          <w:rFonts w:ascii="Work Sans" w:hAnsi="Work Sans" w:cs="Arial"/>
          <w:b/>
          <w:bCs/>
        </w:rPr>
      </w:pPr>
    </w:p>
    <w:p w:rsidRPr="00E1037C" w:rsidR="00F43235" w:rsidP="00E1037C" w:rsidRDefault="00F43235" w14:paraId="4FED8921" w14:textId="0F2F7C66">
      <w:pPr>
        <w:pStyle w:val="ListParagraph"/>
        <w:numPr>
          <w:ilvl w:val="0"/>
          <w:numId w:val="17"/>
        </w:numPr>
        <w:jc w:val="both"/>
        <w:rPr>
          <w:rFonts w:ascii="Work Sans" w:hAnsi="Work Sans" w:cs="Arial"/>
          <w:b/>
          <w:bCs/>
        </w:rPr>
      </w:pPr>
      <w:r w:rsidRPr="00E1037C">
        <w:rPr>
          <w:rFonts w:ascii="Work Sans" w:hAnsi="Work Sans" w:cs="Arial"/>
          <w:b/>
          <w:bCs/>
        </w:rPr>
        <w:t>Mantener el seguimiento permanente a la Estrategia 6GW+ y a las metas de transición energética</w:t>
      </w:r>
    </w:p>
    <w:p w:rsidRPr="00F43235" w:rsidR="00F43235" w:rsidP="00F43235" w:rsidRDefault="00F43235" w14:paraId="66B29CE4" w14:textId="77777777">
      <w:pPr>
        <w:jc w:val="both"/>
        <w:rPr>
          <w:rFonts w:ascii="Work Sans" w:hAnsi="Work Sans" w:cs="Arial"/>
        </w:rPr>
      </w:pPr>
    </w:p>
    <w:p w:rsidRPr="00F43235" w:rsidR="00F43235" w:rsidP="00F43235" w:rsidRDefault="00F43235" w14:paraId="6D39B1DD" w14:textId="77777777">
      <w:pPr>
        <w:jc w:val="both"/>
        <w:rPr>
          <w:rFonts w:ascii="Work Sans" w:hAnsi="Work Sans" w:cs="Arial"/>
        </w:rPr>
      </w:pPr>
      <w:r w:rsidRPr="00F43235">
        <w:rPr>
          <w:rFonts w:ascii="Work Sans" w:hAnsi="Work Sans" w:cs="Arial"/>
        </w:rPr>
        <w:t>Continuar con el monitoreo de los proyectos de generación renovable, almacenamiento de energía e infraestructura de transmisión asociados a la Estrategia 6GW+, verificando el avance de los proyectos, la entrada en operación de nueva capacidad y el cumplimiento de las metas sectoriales relacionadas con la diversificación de la matriz energética.</w:t>
      </w:r>
    </w:p>
    <w:p w:rsidRPr="00F43235" w:rsidR="00F43235" w:rsidP="00F43235" w:rsidRDefault="00F43235" w14:paraId="59695FB9" w14:textId="77777777">
      <w:pPr>
        <w:jc w:val="both"/>
        <w:rPr>
          <w:rFonts w:ascii="Work Sans" w:hAnsi="Work Sans" w:cs="Arial"/>
        </w:rPr>
      </w:pPr>
    </w:p>
    <w:p w:rsidRPr="007B5384" w:rsidR="00F43235" w:rsidP="007B5384" w:rsidRDefault="00F43235" w14:paraId="3A8A2063" w14:textId="3ED82874">
      <w:pPr>
        <w:pStyle w:val="ListParagraph"/>
        <w:numPr>
          <w:ilvl w:val="0"/>
          <w:numId w:val="17"/>
        </w:numPr>
        <w:jc w:val="both"/>
        <w:rPr>
          <w:rFonts w:ascii="Work Sans" w:hAnsi="Work Sans" w:cs="Arial"/>
          <w:b/>
          <w:bCs/>
        </w:rPr>
      </w:pPr>
      <w:r w:rsidRPr="007B5384">
        <w:rPr>
          <w:rFonts w:ascii="Work Sans" w:hAnsi="Work Sans" w:cs="Arial"/>
          <w:b/>
          <w:bCs/>
        </w:rPr>
        <w:t>Fortalecer el monitoreo de la confiabilidad y suficiencia energética</w:t>
      </w:r>
    </w:p>
    <w:p w:rsidRPr="00F43235" w:rsidR="00F43235" w:rsidP="00F43235" w:rsidRDefault="00F43235" w14:paraId="60094A2F" w14:textId="77777777">
      <w:pPr>
        <w:jc w:val="both"/>
        <w:rPr>
          <w:rFonts w:ascii="Work Sans" w:hAnsi="Work Sans" w:cs="Arial"/>
        </w:rPr>
      </w:pPr>
    </w:p>
    <w:p w:rsidRPr="00F43235" w:rsidR="00F43235" w:rsidP="00F43235" w:rsidRDefault="00F43235" w14:paraId="5F6FCD35" w14:textId="77777777">
      <w:pPr>
        <w:jc w:val="both"/>
        <w:rPr>
          <w:rFonts w:ascii="Work Sans" w:hAnsi="Work Sans" w:cs="Arial"/>
        </w:rPr>
      </w:pPr>
      <w:r w:rsidRPr="00F43235">
        <w:rPr>
          <w:rFonts w:ascii="Work Sans" w:hAnsi="Work Sans" w:cs="Arial"/>
        </w:rPr>
        <w:t>Mantener el seguimiento a las principales variables operativas del Sistema Interconectado Nacional, incluyendo demanda de energía, niveles de embalses, disponibilidad de generación, restricciones operativas, Demanda No Atendida (DNA), precios de energía y demás indicadores relevantes para la confiabilidad del sistema, fortaleciendo la capacidad institucional para anticipar riesgos y apoyar la toma de decisiones sectoriales.</w:t>
      </w:r>
    </w:p>
    <w:p w:rsidRPr="00F43235" w:rsidR="00F43235" w:rsidP="00F43235" w:rsidRDefault="00F43235" w14:paraId="5F2045D1" w14:textId="77777777">
      <w:pPr>
        <w:jc w:val="both"/>
        <w:rPr>
          <w:rFonts w:ascii="Work Sans" w:hAnsi="Work Sans" w:cs="Arial"/>
        </w:rPr>
      </w:pPr>
    </w:p>
    <w:p w:rsidRPr="006C3286" w:rsidR="00F43235" w:rsidP="006C3286" w:rsidRDefault="00F43235" w14:paraId="74233B6A" w14:textId="65525D34">
      <w:pPr>
        <w:pStyle w:val="ListParagraph"/>
        <w:numPr>
          <w:ilvl w:val="0"/>
          <w:numId w:val="17"/>
        </w:numPr>
        <w:jc w:val="both"/>
        <w:rPr>
          <w:rFonts w:ascii="Work Sans" w:hAnsi="Work Sans" w:cs="Arial"/>
          <w:b/>
          <w:bCs/>
        </w:rPr>
      </w:pPr>
      <w:r w:rsidRPr="006C3286">
        <w:rPr>
          <w:rFonts w:ascii="Work Sans" w:hAnsi="Work Sans" w:cs="Arial"/>
          <w:b/>
          <w:bCs/>
        </w:rPr>
        <w:t>Dar continuidad al seguimiento de proyectos estratégicos del sector eléctrico</w:t>
      </w:r>
    </w:p>
    <w:p w:rsidRPr="00F43235" w:rsidR="00F43235" w:rsidP="00F43235" w:rsidRDefault="00F43235" w14:paraId="06AB3F35" w14:textId="77777777">
      <w:pPr>
        <w:jc w:val="both"/>
        <w:rPr>
          <w:rFonts w:ascii="Work Sans" w:hAnsi="Work Sans" w:cs="Arial"/>
        </w:rPr>
      </w:pPr>
    </w:p>
    <w:p w:rsidR="00F43235" w:rsidP="00F43235" w:rsidRDefault="00F43235" w14:paraId="72A484BB" w14:textId="77777777">
      <w:pPr>
        <w:jc w:val="both"/>
        <w:rPr>
          <w:rFonts w:ascii="Work Sans" w:hAnsi="Work Sans" w:cs="Arial"/>
        </w:rPr>
      </w:pPr>
      <w:r w:rsidRPr="00F43235">
        <w:rPr>
          <w:rFonts w:ascii="Work Sans" w:hAnsi="Work Sans" w:cs="Arial"/>
        </w:rPr>
        <w:t>Continuar el monitoreo de los proyectos de generación y transmisión considerados estratégicos para la seguridad energética nacional, con especial atención a aquellos que presentan riesgos para su entrada en operación o que resultan determinantes para la incorporación de nueva capacidad de generación, la atención de la demanda y la reducción de restricciones del sistema.</w:t>
      </w:r>
    </w:p>
    <w:p w:rsidR="001B0A3F" w:rsidP="00F43235" w:rsidRDefault="001B0A3F" w14:paraId="476AAE5D" w14:textId="77777777">
      <w:pPr>
        <w:jc w:val="both"/>
        <w:rPr>
          <w:rFonts w:ascii="Work Sans" w:hAnsi="Work Sans" w:cs="Arial"/>
        </w:rPr>
      </w:pPr>
    </w:p>
    <w:p w:rsidRPr="00F43235" w:rsidR="001B0A3F" w:rsidP="001B0A3F" w:rsidRDefault="001B0A3F" w14:paraId="6E8235DA" w14:textId="611B76D2">
      <w:pPr>
        <w:jc w:val="both"/>
        <w:rPr>
          <w:rFonts w:ascii="Work Sans" w:hAnsi="Work Sans" w:cs="Arial"/>
        </w:rPr>
      </w:pPr>
      <w:r>
        <w:rPr>
          <w:rFonts w:ascii="Work Sans" w:hAnsi="Work Sans" w:cs="Arial"/>
        </w:rPr>
        <w:t>Sobre este aspecto se resalta la necesidad de d</w:t>
      </w:r>
      <w:r w:rsidRPr="00F43235">
        <w:rPr>
          <w:rFonts w:ascii="Work Sans" w:hAnsi="Work Sans" w:cs="Arial"/>
        </w:rPr>
        <w:t>ar continuidad al análisis de los Planes de Expansión de Referencia de Generación y Transmisión, así como al seguimiento de los proyectos adoptados por el Ministerio de Minas y Energía, con el propósito de identificar oportunamente riesgos asociados a retrasos, restricciones de infraestructura o necesidades adicionales de expansión que puedan afectar la confiabilidad del sistema.</w:t>
      </w:r>
    </w:p>
    <w:p w:rsidRPr="00F43235" w:rsidR="00F43235" w:rsidP="00F43235" w:rsidRDefault="00F43235" w14:paraId="44EA8585" w14:textId="77777777">
      <w:pPr>
        <w:jc w:val="both"/>
        <w:rPr>
          <w:rFonts w:ascii="Work Sans" w:hAnsi="Work Sans" w:cs="Arial"/>
        </w:rPr>
      </w:pPr>
    </w:p>
    <w:p w:rsidRPr="007A61A2" w:rsidR="00F43235" w:rsidP="007A61A2" w:rsidRDefault="00F43235" w14:paraId="74111734" w14:textId="6FE16747">
      <w:pPr>
        <w:pStyle w:val="ListParagraph"/>
        <w:numPr>
          <w:ilvl w:val="0"/>
          <w:numId w:val="17"/>
        </w:numPr>
        <w:jc w:val="both"/>
        <w:rPr>
          <w:rFonts w:ascii="Work Sans" w:hAnsi="Work Sans" w:cs="Arial"/>
          <w:b/>
          <w:bCs/>
        </w:rPr>
      </w:pPr>
      <w:r w:rsidRPr="007A61A2">
        <w:rPr>
          <w:rFonts w:ascii="Work Sans" w:hAnsi="Work Sans" w:cs="Arial"/>
          <w:b/>
          <w:bCs/>
        </w:rPr>
        <w:t>Fortalecer la generación de información estratégica para la toma de decisiones</w:t>
      </w:r>
    </w:p>
    <w:p w:rsidRPr="00F43235" w:rsidR="00F43235" w:rsidP="00F43235" w:rsidRDefault="00F43235" w14:paraId="4EB42891" w14:textId="77777777">
      <w:pPr>
        <w:jc w:val="both"/>
        <w:rPr>
          <w:rFonts w:ascii="Work Sans" w:hAnsi="Work Sans" w:cs="Arial"/>
        </w:rPr>
      </w:pPr>
    </w:p>
    <w:p w:rsidRPr="00E1010D" w:rsidR="00082D3C" w:rsidP="00F43235" w:rsidRDefault="00F43235" w14:paraId="077C587D" w14:textId="7085141F">
      <w:pPr>
        <w:jc w:val="both"/>
        <w:rPr>
          <w:rFonts w:ascii="Work Sans" w:hAnsi="Work Sans"/>
        </w:rPr>
      </w:pPr>
      <w:r w:rsidRPr="00F43235">
        <w:rPr>
          <w:rFonts w:ascii="Work Sans" w:hAnsi="Work Sans" w:cs="Arial"/>
        </w:rPr>
        <w:t>Mantener y fortalecer las herramientas de seguimiento, análisis sectorial y monitoreo desarrolladas por el Grupo, promoviendo la consolidación de información técnica confiable y oportuna que permita apoyar la formulación de política pública, la atención de requerimientos institucionales y la toma de decisiones estratégicas por parte de la Dirección de Energía Eléctrica y del Ministerio de Minas y Energía.</w:t>
      </w:r>
    </w:p>
    <w:sectPr w:rsidRPr="00E1010D" w:rsidR="00082D3C">
      <w:pgSz w:w="12240" w:h="15840" w:orient="portrait"/>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ork Sans">
    <w:altName w:val="Calibri"/>
    <w:charset w:val="00"/>
    <w:family w:val="auto"/>
    <w:pitch w:val="variable"/>
    <w:sig w:usb0="A00000FF" w:usb1="5000E07B" w:usb2="00000000" w:usb3="00000000" w:csb0="00000193" w:csb1="00000000"/>
  </w:font>
  <w:font w:name="Arial">
    <w:panose1 w:val="020B0604020202020204"/>
    <w:charset w:val="00"/>
    <w:family w:val="swiss"/>
    <w:pitch w:val="variable"/>
    <w:sig w:usb0="E0002EFF" w:usb1="C000785B" w:usb2="00000009" w:usb3="00000000" w:csb0="000001FF" w:csb1="00000000"/>
  </w:font>
  <w:font w:name="Aptos">
    <w:panose1 w:val="00000000000000000000"/>
    <w:charset w:val="00"/>
    <w:family w:val="roman"/>
    <w:notTrueType/>
    <w:pitch w:val="default"/>
  </w:font>
  <w:font w:name="Aptos Display">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163377"/>
    <w:multiLevelType w:val="hybridMultilevel"/>
    <w:tmpl w:val="FFFFFFFF"/>
    <w:lvl w:ilvl="0" w:tplc="D08AE376">
      <w:start w:val="1"/>
      <w:numFmt w:val="bullet"/>
      <w:lvlText w:val=""/>
      <w:lvlJc w:val="left"/>
      <w:pPr>
        <w:ind w:left="720" w:hanging="360"/>
      </w:pPr>
      <w:rPr>
        <w:rFonts w:hint="default" w:ascii="Symbol" w:hAnsi="Symbol"/>
      </w:rPr>
    </w:lvl>
    <w:lvl w:ilvl="1" w:tplc="A9E65E8E">
      <w:start w:val="1"/>
      <w:numFmt w:val="bullet"/>
      <w:lvlText w:val="o"/>
      <w:lvlJc w:val="left"/>
      <w:pPr>
        <w:ind w:left="1440" w:hanging="360"/>
      </w:pPr>
      <w:rPr>
        <w:rFonts w:hint="default" w:ascii="Courier New" w:hAnsi="Courier New"/>
      </w:rPr>
    </w:lvl>
    <w:lvl w:ilvl="2" w:tplc="0B70494E">
      <w:start w:val="1"/>
      <w:numFmt w:val="bullet"/>
      <w:lvlText w:val=""/>
      <w:lvlJc w:val="left"/>
      <w:pPr>
        <w:ind w:left="2160" w:hanging="360"/>
      </w:pPr>
      <w:rPr>
        <w:rFonts w:hint="default" w:ascii="Wingdings" w:hAnsi="Wingdings"/>
      </w:rPr>
    </w:lvl>
    <w:lvl w:ilvl="3" w:tplc="BD9EC95C">
      <w:start w:val="1"/>
      <w:numFmt w:val="bullet"/>
      <w:lvlText w:val=""/>
      <w:lvlJc w:val="left"/>
      <w:pPr>
        <w:ind w:left="2880" w:hanging="360"/>
      </w:pPr>
      <w:rPr>
        <w:rFonts w:hint="default" w:ascii="Symbol" w:hAnsi="Symbol"/>
      </w:rPr>
    </w:lvl>
    <w:lvl w:ilvl="4" w:tplc="811C6FFA">
      <w:start w:val="1"/>
      <w:numFmt w:val="bullet"/>
      <w:lvlText w:val="o"/>
      <w:lvlJc w:val="left"/>
      <w:pPr>
        <w:ind w:left="3600" w:hanging="360"/>
      </w:pPr>
      <w:rPr>
        <w:rFonts w:hint="default" w:ascii="Courier New" w:hAnsi="Courier New"/>
      </w:rPr>
    </w:lvl>
    <w:lvl w:ilvl="5" w:tplc="52C48280">
      <w:start w:val="1"/>
      <w:numFmt w:val="bullet"/>
      <w:lvlText w:val=""/>
      <w:lvlJc w:val="left"/>
      <w:pPr>
        <w:ind w:left="4320" w:hanging="360"/>
      </w:pPr>
      <w:rPr>
        <w:rFonts w:hint="default" w:ascii="Wingdings" w:hAnsi="Wingdings"/>
      </w:rPr>
    </w:lvl>
    <w:lvl w:ilvl="6" w:tplc="EAAE9B48">
      <w:start w:val="1"/>
      <w:numFmt w:val="bullet"/>
      <w:lvlText w:val=""/>
      <w:lvlJc w:val="left"/>
      <w:pPr>
        <w:ind w:left="5040" w:hanging="360"/>
      </w:pPr>
      <w:rPr>
        <w:rFonts w:hint="default" w:ascii="Symbol" w:hAnsi="Symbol"/>
      </w:rPr>
    </w:lvl>
    <w:lvl w:ilvl="7" w:tplc="BE380664">
      <w:start w:val="1"/>
      <w:numFmt w:val="bullet"/>
      <w:lvlText w:val="o"/>
      <w:lvlJc w:val="left"/>
      <w:pPr>
        <w:ind w:left="5760" w:hanging="360"/>
      </w:pPr>
      <w:rPr>
        <w:rFonts w:hint="default" w:ascii="Courier New" w:hAnsi="Courier New"/>
      </w:rPr>
    </w:lvl>
    <w:lvl w:ilvl="8" w:tplc="ADC26D2C">
      <w:start w:val="1"/>
      <w:numFmt w:val="bullet"/>
      <w:lvlText w:val=""/>
      <w:lvlJc w:val="left"/>
      <w:pPr>
        <w:ind w:left="6480" w:hanging="360"/>
      </w:pPr>
      <w:rPr>
        <w:rFonts w:hint="default" w:ascii="Wingdings" w:hAnsi="Wingdings"/>
      </w:rPr>
    </w:lvl>
  </w:abstractNum>
  <w:abstractNum w:abstractNumId="1" w15:restartNumberingAfterBreak="0">
    <w:nsid w:val="1183B5E9"/>
    <w:multiLevelType w:val="hybridMultilevel"/>
    <w:tmpl w:val="FFFFFFFF"/>
    <w:lvl w:ilvl="0" w:tplc="30021760">
      <w:start w:val="16"/>
      <w:numFmt w:val="decimal"/>
      <w:lvlText w:val="%1."/>
      <w:lvlJc w:val="left"/>
      <w:pPr>
        <w:ind w:left="720" w:hanging="360"/>
      </w:pPr>
    </w:lvl>
    <w:lvl w:ilvl="1" w:tplc="30BE6EE4">
      <w:start w:val="1"/>
      <w:numFmt w:val="lowerLetter"/>
      <w:lvlText w:val="%2."/>
      <w:lvlJc w:val="left"/>
      <w:pPr>
        <w:ind w:left="1440" w:hanging="360"/>
      </w:pPr>
    </w:lvl>
    <w:lvl w:ilvl="2" w:tplc="88F0D4A0">
      <w:start w:val="1"/>
      <w:numFmt w:val="lowerRoman"/>
      <w:lvlText w:val="%3."/>
      <w:lvlJc w:val="right"/>
      <w:pPr>
        <w:ind w:left="2160" w:hanging="180"/>
      </w:pPr>
    </w:lvl>
    <w:lvl w:ilvl="3" w:tplc="A4C47132">
      <w:start w:val="1"/>
      <w:numFmt w:val="decimal"/>
      <w:lvlText w:val="%4."/>
      <w:lvlJc w:val="left"/>
      <w:pPr>
        <w:ind w:left="2880" w:hanging="360"/>
      </w:pPr>
    </w:lvl>
    <w:lvl w:ilvl="4" w:tplc="1A1CEDDC">
      <w:start w:val="1"/>
      <w:numFmt w:val="lowerLetter"/>
      <w:lvlText w:val="%5."/>
      <w:lvlJc w:val="left"/>
      <w:pPr>
        <w:ind w:left="3600" w:hanging="360"/>
      </w:pPr>
    </w:lvl>
    <w:lvl w:ilvl="5" w:tplc="95ECEFBA">
      <w:start w:val="1"/>
      <w:numFmt w:val="lowerRoman"/>
      <w:lvlText w:val="%6."/>
      <w:lvlJc w:val="right"/>
      <w:pPr>
        <w:ind w:left="4320" w:hanging="180"/>
      </w:pPr>
    </w:lvl>
    <w:lvl w:ilvl="6" w:tplc="3C0E4FB0">
      <w:start w:val="1"/>
      <w:numFmt w:val="decimal"/>
      <w:lvlText w:val="%7."/>
      <w:lvlJc w:val="left"/>
      <w:pPr>
        <w:ind w:left="5040" w:hanging="360"/>
      </w:pPr>
    </w:lvl>
    <w:lvl w:ilvl="7" w:tplc="96780A68">
      <w:start w:val="1"/>
      <w:numFmt w:val="lowerLetter"/>
      <w:lvlText w:val="%8."/>
      <w:lvlJc w:val="left"/>
      <w:pPr>
        <w:ind w:left="5760" w:hanging="360"/>
      </w:pPr>
    </w:lvl>
    <w:lvl w:ilvl="8" w:tplc="AFACF73E">
      <w:start w:val="1"/>
      <w:numFmt w:val="lowerRoman"/>
      <w:lvlText w:val="%9."/>
      <w:lvlJc w:val="right"/>
      <w:pPr>
        <w:ind w:left="6480" w:hanging="180"/>
      </w:pPr>
    </w:lvl>
  </w:abstractNum>
  <w:abstractNum w:abstractNumId="2" w15:restartNumberingAfterBreak="0">
    <w:nsid w:val="199B779E"/>
    <w:multiLevelType w:val="hybridMultilevel"/>
    <w:tmpl w:val="0668168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 w15:restartNumberingAfterBreak="0">
    <w:nsid w:val="2B325239"/>
    <w:multiLevelType w:val="multilevel"/>
    <w:tmpl w:val="51D02FC2"/>
    <w:lvl w:ilvl="0">
      <w:start w:val="2"/>
      <w:numFmt w:val="decimal"/>
      <w:lvlText w:val="%1."/>
      <w:lvlJc w:val="left"/>
      <w:pPr>
        <w:ind w:left="540" w:hanging="540"/>
      </w:pPr>
      <w:rPr>
        <w:rFonts w:hint="default"/>
        <w:b/>
        <w:bCs w:val="0"/>
      </w:rPr>
    </w:lvl>
    <w:lvl w:ilvl="1">
      <w:start w:val="5"/>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4" w15:restartNumberingAfterBreak="0">
    <w:nsid w:val="2D74718C"/>
    <w:multiLevelType w:val="hybridMultilevel"/>
    <w:tmpl w:val="C0C0181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 w15:restartNumberingAfterBreak="0">
    <w:nsid w:val="36A75334"/>
    <w:multiLevelType w:val="hybridMultilevel"/>
    <w:tmpl w:val="6F825184"/>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41182F5F"/>
    <w:multiLevelType w:val="hybridMultilevel"/>
    <w:tmpl w:val="FFFFFFFF"/>
    <w:lvl w:ilvl="0" w:tplc="67C0C7B8">
      <w:start w:val="16"/>
      <w:numFmt w:val="decimal"/>
      <w:lvlText w:val="%1."/>
      <w:lvlJc w:val="left"/>
      <w:pPr>
        <w:ind w:left="720" w:hanging="360"/>
      </w:pPr>
    </w:lvl>
    <w:lvl w:ilvl="1" w:tplc="77AC5E36">
      <w:start w:val="1"/>
      <w:numFmt w:val="lowerLetter"/>
      <w:lvlText w:val="%2."/>
      <w:lvlJc w:val="left"/>
      <w:pPr>
        <w:ind w:left="1440" w:hanging="360"/>
      </w:pPr>
    </w:lvl>
    <w:lvl w:ilvl="2" w:tplc="B038F838">
      <w:start w:val="1"/>
      <w:numFmt w:val="lowerRoman"/>
      <w:lvlText w:val="%3."/>
      <w:lvlJc w:val="right"/>
      <w:pPr>
        <w:ind w:left="2160" w:hanging="180"/>
      </w:pPr>
    </w:lvl>
    <w:lvl w:ilvl="3" w:tplc="0B7C0F2A">
      <w:start w:val="1"/>
      <w:numFmt w:val="decimal"/>
      <w:lvlText w:val="%4."/>
      <w:lvlJc w:val="left"/>
      <w:pPr>
        <w:ind w:left="2880" w:hanging="360"/>
      </w:pPr>
    </w:lvl>
    <w:lvl w:ilvl="4" w:tplc="2F2C2214">
      <w:start w:val="1"/>
      <w:numFmt w:val="lowerLetter"/>
      <w:lvlText w:val="%5."/>
      <w:lvlJc w:val="left"/>
      <w:pPr>
        <w:ind w:left="3600" w:hanging="360"/>
      </w:pPr>
    </w:lvl>
    <w:lvl w:ilvl="5" w:tplc="B46C1412">
      <w:start w:val="1"/>
      <w:numFmt w:val="lowerRoman"/>
      <w:lvlText w:val="%6."/>
      <w:lvlJc w:val="right"/>
      <w:pPr>
        <w:ind w:left="4320" w:hanging="180"/>
      </w:pPr>
    </w:lvl>
    <w:lvl w:ilvl="6" w:tplc="72849B6E">
      <w:start w:val="1"/>
      <w:numFmt w:val="decimal"/>
      <w:lvlText w:val="%7."/>
      <w:lvlJc w:val="left"/>
      <w:pPr>
        <w:ind w:left="5040" w:hanging="360"/>
      </w:pPr>
    </w:lvl>
    <w:lvl w:ilvl="7" w:tplc="6342381A">
      <w:start w:val="1"/>
      <w:numFmt w:val="lowerLetter"/>
      <w:lvlText w:val="%8."/>
      <w:lvlJc w:val="left"/>
      <w:pPr>
        <w:ind w:left="5760" w:hanging="360"/>
      </w:pPr>
    </w:lvl>
    <w:lvl w:ilvl="8" w:tplc="9FA4EE6E">
      <w:start w:val="1"/>
      <w:numFmt w:val="lowerRoman"/>
      <w:lvlText w:val="%9."/>
      <w:lvlJc w:val="right"/>
      <w:pPr>
        <w:ind w:left="6480" w:hanging="180"/>
      </w:pPr>
    </w:lvl>
  </w:abstractNum>
  <w:abstractNum w:abstractNumId="7" w15:restartNumberingAfterBreak="0">
    <w:nsid w:val="41C55BF2"/>
    <w:multiLevelType w:val="hybridMultilevel"/>
    <w:tmpl w:val="0F5477C8"/>
    <w:lvl w:ilvl="0" w:tplc="FFFFFFFF">
      <w:start w:val="1"/>
      <w:numFmt w:val="bullet"/>
      <w:lvlText w:val="·"/>
      <w:lvlJc w:val="left"/>
      <w:pPr>
        <w:ind w:left="720" w:hanging="360"/>
      </w:pPr>
      <w:rPr>
        <w:rFonts w:hint="default" w:ascii="Symbol" w:hAnsi="Symbol"/>
      </w:rPr>
    </w:lvl>
    <w:lvl w:ilvl="1" w:tplc="DE24A78A">
      <w:numFmt w:val="bullet"/>
      <w:lvlText w:val="-"/>
      <w:lvlJc w:val="left"/>
      <w:pPr>
        <w:ind w:left="1440" w:hanging="360"/>
      </w:pPr>
      <w:rPr>
        <w:rFonts w:hint="default" w:ascii="Work Sans" w:hAnsi="Work Sans" w:eastAsia="Times New Roman" w:cs="Arial"/>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 w15:restartNumberingAfterBreak="0">
    <w:nsid w:val="42410564"/>
    <w:multiLevelType w:val="multilevel"/>
    <w:tmpl w:val="ED86C798"/>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b/>
        <w:bCs/>
      </w:rPr>
    </w:lvl>
    <w:lvl w:ilvl="2">
      <w:start w:val="1"/>
      <w:numFmt w:val="decimal"/>
      <w:lvlText w:val="%1.%2.%3."/>
      <w:lvlJc w:val="left"/>
      <w:pPr>
        <w:ind w:left="720" w:hanging="720"/>
      </w:pPr>
      <w:rPr>
        <w:rFonts w:hint="default"/>
        <w:b w:val="0"/>
        <w:bCs w:val="0"/>
      </w:rPr>
    </w:lvl>
    <w:lvl w:ilvl="3">
      <w:start w:val="1"/>
      <w:numFmt w:val="decimal"/>
      <w:lvlText w:val="%1.%2.%3.%4."/>
      <w:lvlJc w:val="left"/>
      <w:pPr>
        <w:ind w:left="1080" w:hanging="1080"/>
      </w:pPr>
      <w:rPr>
        <w:rFonts w:hint="default" w:ascii="Work Sans" w:hAnsi="Work Sans"/>
        <w:b w:val="0"/>
        <w:bCs w:val="0"/>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448C7859"/>
    <w:multiLevelType w:val="hybridMultilevel"/>
    <w:tmpl w:val="C40A254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0" w15:restartNumberingAfterBreak="0">
    <w:nsid w:val="59298410"/>
    <w:multiLevelType w:val="hybridMultilevel"/>
    <w:tmpl w:val="69FA35F2"/>
    <w:lvl w:ilvl="0" w:tplc="CC9AACF0">
      <w:start w:val="1"/>
      <w:numFmt w:val="bullet"/>
      <w:lvlText w:val=""/>
      <w:lvlJc w:val="left"/>
      <w:pPr>
        <w:ind w:left="720" w:hanging="360"/>
      </w:pPr>
      <w:rPr>
        <w:rFonts w:hint="default" w:ascii="Symbol" w:hAnsi="Symbol"/>
      </w:rPr>
    </w:lvl>
    <w:lvl w:ilvl="1" w:tplc="20664F40">
      <w:start w:val="1"/>
      <w:numFmt w:val="bullet"/>
      <w:lvlText w:val="o"/>
      <w:lvlJc w:val="left"/>
      <w:pPr>
        <w:ind w:left="1440" w:hanging="360"/>
      </w:pPr>
      <w:rPr>
        <w:rFonts w:hint="default" w:ascii="Courier New" w:hAnsi="Courier New"/>
      </w:rPr>
    </w:lvl>
    <w:lvl w:ilvl="2" w:tplc="A730901E">
      <w:start w:val="1"/>
      <w:numFmt w:val="bullet"/>
      <w:lvlText w:val=""/>
      <w:lvlJc w:val="left"/>
      <w:pPr>
        <w:ind w:left="2160" w:hanging="360"/>
      </w:pPr>
      <w:rPr>
        <w:rFonts w:hint="default" w:ascii="Wingdings" w:hAnsi="Wingdings"/>
      </w:rPr>
    </w:lvl>
    <w:lvl w:ilvl="3" w:tplc="5A8C2922">
      <w:start w:val="1"/>
      <w:numFmt w:val="bullet"/>
      <w:lvlText w:val=""/>
      <w:lvlJc w:val="left"/>
      <w:pPr>
        <w:ind w:left="2880" w:hanging="360"/>
      </w:pPr>
      <w:rPr>
        <w:rFonts w:hint="default" w:ascii="Symbol" w:hAnsi="Symbol"/>
      </w:rPr>
    </w:lvl>
    <w:lvl w:ilvl="4" w:tplc="51080A5E">
      <w:start w:val="1"/>
      <w:numFmt w:val="bullet"/>
      <w:lvlText w:val="o"/>
      <w:lvlJc w:val="left"/>
      <w:pPr>
        <w:ind w:left="3600" w:hanging="360"/>
      </w:pPr>
      <w:rPr>
        <w:rFonts w:hint="default" w:ascii="Courier New" w:hAnsi="Courier New"/>
      </w:rPr>
    </w:lvl>
    <w:lvl w:ilvl="5" w:tplc="19BA4886">
      <w:start w:val="1"/>
      <w:numFmt w:val="bullet"/>
      <w:lvlText w:val=""/>
      <w:lvlJc w:val="left"/>
      <w:pPr>
        <w:ind w:left="4320" w:hanging="360"/>
      </w:pPr>
      <w:rPr>
        <w:rFonts w:hint="default" w:ascii="Wingdings" w:hAnsi="Wingdings"/>
      </w:rPr>
    </w:lvl>
    <w:lvl w:ilvl="6" w:tplc="D4C40CCC">
      <w:start w:val="1"/>
      <w:numFmt w:val="bullet"/>
      <w:lvlText w:val=""/>
      <w:lvlJc w:val="left"/>
      <w:pPr>
        <w:ind w:left="5040" w:hanging="360"/>
      </w:pPr>
      <w:rPr>
        <w:rFonts w:hint="default" w:ascii="Symbol" w:hAnsi="Symbol"/>
      </w:rPr>
    </w:lvl>
    <w:lvl w:ilvl="7" w:tplc="6400BD0A">
      <w:start w:val="1"/>
      <w:numFmt w:val="bullet"/>
      <w:lvlText w:val="o"/>
      <w:lvlJc w:val="left"/>
      <w:pPr>
        <w:ind w:left="5760" w:hanging="360"/>
      </w:pPr>
      <w:rPr>
        <w:rFonts w:hint="default" w:ascii="Courier New" w:hAnsi="Courier New"/>
      </w:rPr>
    </w:lvl>
    <w:lvl w:ilvl="8" w:tplc="E24E89A6">
      <w:start w:val="1"/>
      <w:numFmt w:val="bullet"/>
      <w:lvlText w:val=""/>
      <w:lvlJc w:val="left"/>
      <w:pPr>
        <w:ind w:left="6480" w:hanging="360"/>
      </w:pPr>
      <w:rPr>
        <w:rFonts w:hint="default" w:ascii="Wingdings" w:hAnsi="Wingdings"/>
      </w:rPr>
    </w:lvl>
  </w:abstractNum>
  <w:abstractNum w:abstractNumId="11" w15:restartNumberingAfterBreak="0">
    <w:nsid w:val="5C8BA3F5"/>
    <w:multiLevelType w:val="hybridMultilevel"/>
    <w:tmpl w:val="FFFFFFFF"/>
    <w:lvl w:ilvl="0" w:tplc="06D6AF58">
      <w:start w:val="1"/>
      <w:numFmt w:val="bullet"/>
      <w:lvlText w:val=""/>
      <w:lvlJc w:val="left"/>
      <w:pPr>
        <w:ind w:left="720" w:hanging="360"/>
      </w:pPr>
      <w:rPr>
        <w:rFonts w:hint="default" w:ascii="Symbol" w:hAnsi="Symbol"/>
      </w:rPr>
    </w:lvl>
    <w:lvl w:ilvl="1" w:tplc="49BC0BAA">
      <w:start w:val="1"/>
      <w:numFmt w:val="bullet"/>
      <w:lvlText w:val="o"/>
      <w:lvlJc w:val="left"/>
      <w:pPr>
        <w:ind w:left="1440" w:hanging="360"/>
      </w:pPr>
      <w:rPr>
        <w:rFonts w:hint="default" w:ascii="Courier New" w:hAnsi="Courier New"/>
      </w:rPr>
    </w:lvl>
    <w:lvl w:ilvl="2" w:tplc="D6C60B06">
      <w:start w:val="1"/>
      <w:numFmt w:val="bullet"/>
      <w:lvlText w:val=""/>
      <w:lvlJc w:val="left"/>
      <w:pPr>
        <w:ind w:left="2160" w:hanging="360"/>
      </w:pPr>
      <w:rPr>
        <w:rFonts w:hint="default" w:ascii="Wingdings" w:hAnsi="Wingdings"/>
      </w:rPr>
    </w:lvl>
    <w:lvl w:ilvl="3" w:tplc="3F68EBD6">
      <w:start w:val="1"/>
      <w:numFmt w:val="bullet"/>
      <w:lvlText w:val=""/>
      <w:lvlJc w:val="left"/>
      <w:pPr>
        <w:ind w:left="2880" w:hanging="360"/>
      </w:pPr>
      <w:rPr>
        <w:rFonts w:hint="default" w:ascii="Symbol" w:hAnsi="Symbol"/>
      </w:rPr>
    </w:lvl>
    <w:lvl w:ilvl="4" w:tplc="05EA5BE6">
      <w:start w:val="1"/>
      <w:numFmt w:val="bullet"/>
      <w:lvlText w:val="o"/>
      <w:lvlJc w:val="left"/>
      <w:pPr>
        <w:ind w:left="3600" w:hanging="360"/>
      </w:pPr>
      <w:rPr>
        <w:rFonts w:hint="default" w:ascii="Courier New" w:hAnsi="Courier New"/>
      </w:rPr>
    </w:lvl>
    <w:lvl w:ilvl="5" w:tplc="18CEE622">
      <w:start w:val="1"/>
      <w:numFmt w:val="bullet"/>
      <w:lvlText w:val=""/>
      <w:lvlJc w:val="left"/>
      <w:pPr>
        <w:ind w:left="4320" w:hanging="360"/>
      </w:pPr>
      <w:rPr>
        <w:rFonts w:hint="default" w:ascii="Wingdings" w:hAnsi="Wingdings"/>
      </w:rPr>
    </w:lvl>
    <w:lvl w:ilvl="6" w:tplc="6DEA107E">
      <w:start w:val="1"/>
      <w:numFmt w:val="bullet"/>
      <w:lvlText w:val=""/>
      <w:lvlJc w:val="left"/>
      <w:pPr>
        <w:ind w:left="5040" w:hanging="360"/>
      </w:pPr>
      <w:rPr>
        <w:rFonts w:hint="default" w:ascii="Symbol" w:hAnsi="Symbol"/>
      </w:rPr>
    </w:lvl>
    <w:lvl w:ilvl="7" w:tplc="32208062">
      <w:start w:val="1"/>
      <w:numFmt w:val="bullet"/>
      <w:lvlText w:val="o"/>
      <w:lvlJc w:val="left"/>
      <w:pPr>
        <w:ind w:left="5760" w:hanging="360"/>
      </w:pPr>
      <w:rPr>
        <w:rFonts w:hint="default" w:ascii="Courier New" w:hAnsi="Courier New"/>
      </w:rPr>
    </w:lvl>
    <w:lvl w:ilvl="8" w:tplc="9D3CAE4E">
      <w:start w:val="1"/>
      <w:numFmt w:val="bullet"/>
      <w:lvlText w:val=""/>
      <w:lvlJc w:val="left"/>
      <w:pPr>
        <w:ind w:left="6480" w:hanging="360"/>
      </w:pPr>
      <w:rPr>
        <w:rFonts w:hint="default" w:ascii="Wingdings" w:hAnsi="Wingdings"/>
      </w:rPr>
    </w:lvl>
  </w:abstractNum>
  <w:abstractNum w:abstractNumId="12" w15:restartNumberingAfterBreak="0">
    <w:nsid w:val="5E4711C5"/>
    <w:multiLevelType w:val="hybridMultilevel"/>
    <w:tmpl w:val="CA409972"/>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3" w15:restartNumberingAfterBreak="0">
    <w:nsid w:val="688F79EB"/>
    <w:multiLevelType w:val="hybridMultilevel"/>
    <w:tmpl w:val="2278D7B6"/>
    <w:lvl w:ilvl="0" w:tplc="5CCA391E">
      <w:numFmt w:val="bullet"/>
      <w:lvlText w:val="•"/>
      <w:lvlJc w:val="left"/>
      <w:pPr>
        <w:ind w:left="720" w:hanging="360"/>
      </w:pPr>
      <w:rPr>
        <w:rFonts w:hint="default" w:ascii="Arial" w:hAnsi="Arial" w:cs="Arial" w:eastAsiaTheme="minorHAnsi"/>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4" w15:restartNumberingAfterBreak="0">
    <w:nsid w:val="746A510C"/>
    <w:multiLevelType w:val="hybridMultilevel"/>
    <w:tmpl w:val="CD8C02A4"/>
    <w:lvl w:ilvl="0" w:tplc="240A0001">
      <w:start w:val="1"/>
      <w:numFmt w:val="bullet"/>
      <w:lvlText w:val=""/>
      <w:lvlJc w:val="left"/>
      <w:pPr>
        <w:ind w:left="1440" w:hanging="360"/>
      </w:pPr>
      <w:rPr>
        <w:rFonts w:hint="default" w:ascii="Symbol" w:hAnsi="Symbol"/>
      </w:rPr>
    </w:lvl>
    <w:lvl w:ilvl="1" w:tplc="240A0003" w:tentative="1">
      <w:start w:val="1"/>
      <w:numFmt w:val="bullet"/>
      <w:lvlText w:val="o"/>
      <w:lvlJc w:val="left"/>
      <w:pPr>
        <w:ind w:left="2160" w:hanging="360"/>
      </w:pPr>
      <w:rPr>
        <w:rFonts w:hint="default" w:ascii="Courier New" w:hAnsi="Courier New" w:cs="Courier New"/>
      </w:rPr>
    </w:lvl>
    <w:lvl w:ilvl="2" w:tplc="240A0005" w:tentative="1">
      <w:start w:val="1"/>
      <w:numFmt w:val="bullet"/>
      <w:lvlText w:val=""/>
      <w:lvlJc w:val="left"/>
      <w:pPr>
        <w:ind w:left="2880" w:hanging="360"/>
      </w:pPr>
      <w:rPr>
        <w:rFonts w:hint="default" w:ascii="Wingdings" w:hAnsi="Wingdings"/>
      </w:rPr>
    </w:lvl>
    <w:lvl w:ilvl="3" w:tplc="240A0001" w:tentative="1">
      <w:start w:val="1"/>
      <w:numFmt w:val="bullet"/>
      <w:lvlText w:val=""/>
      <w:lvlJc w:val="left"/>
      <w:pPr>
        <w:ind w:left="3600" w:hanging="360"/>
      </w:pPr>
      <w:rPr>
        <w:rFonts w:hint="default" w:ascii="Symbol" w:hAnsi="Symbol"/>
      </w:rPr>
    </w:lvl>
    <w:lvl w:ilvl="4" w:tplc="240A0003" w:tentative="1">
      <w:start w:val="1"/>
      <w:numFmt w:val="bullet"/>
      <w:lvlText w:val="o"/>
      <w:lvlJc w:val="left"/>
      <w:pPr>
        <w:ind w:left="4320" w:hanging="360"/>
      </w:pPr>
      <w:rPr>
        <w:rFonts w:hint="default" w:ascii="Courier New" w:hAnsi="Courier New" w:cs="Courier New"/>
      </w:rPr>
    </w:lvl>
    <w:lvl w:ilvl="5" w:tplc="240A0005" w:tentative="1">
      <w:start w:val="1"/>
      <w:numFmt w:val="bullet"/>
      <w:lvlText w:val=""/>
      <w:lvlJc w:val="left"/>
      <w:pPr>
        <w:ind w:left="5040" w:hanging="360"/>
      </w:pPr>
      <w:rPr>
        <w:rFonts w:hint="default" w:ascii="Wingdings" w:hAnsi="Wingdings"/>
      </w:rPr>
    </w:lvl>
    <w:lvl w:ilvl="6" w:tplc="240A0001" w:tentative="1">
      <w:start w:val="1"/>
      <w:numFmt w:val="bullet"/>
      <w:lvlText w:val=""/>
      <w:lvlJc w:val="left"/>
      <w:pPr>
        <w:ind w:left="5760" w:hanging="360"/>
      </w:pPr>
      <w:rPr>
        <w:rFonts w:hint="default" w:ascii="Symbol" w:hAnsi="Symbol"/>
      </w:rPr>
    </w:lvl>
    <w:lvl w:ilvl="7" w:tplc="240A0003" w:tentative="1">
      <w:start w:val="1"/>
      <w:numFmt w:val="bullet"/>
      <w:lvlText w:val="o"/>
      <w:lvlJc w:val="left"/>
      <w:pPr>
        <w:ind w:left="6480" w:hanging="360"/>
      </w:pPr>
      <w:rPr>
        <w:rFonts w:hint="default" w:ascii="Courier New" w:hAnsi="Courier New" w:cs="Courier New"/>
      </w:rPr>
    </w:lvl>
    <w:lvl w:ilvl="8" w:tplc="240A0005" w:tentative="1">
      <w:start w:val="1"/>
      <w:numFmt w:val="bullet"/>
      <w:lvlText w:val=""/>
      <w:lvlJc w:val="left"/>
      <w:pPr>
        <w:ind w:left="7200" w:hanging="360"/>
      </w:pPr>
      <w:rPr>
        <w:rFonts w:hint="default" w:ascii="Wingdings" w:hAnsi="Wingdings"/>
      </w:rPr>
    </w:lvl>
  </w:abstractNum>
  <w:abstractNum w:abstractNumId="15" w15:restartNumberingAfterBreak="0">
    <w:nsid w:val="76B8528E"/>
    <w:multiLevelType w:val="hybridMultilevel"/>
    <w:tmpl w:val="36A244C6"/>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7DC829BA"/>
    <w:multiLevelType w:val="hybridMultilevel"/>
    <w:tmpl w:val="9E2CAB90"/>
    <w:lvl w:ilvl="0" w:tplc="240A0001">
      <w:start w:val="1"/>
      <w:numFmt w:val="bullet"/>
      <w:lvlText w:val=""/>
      <w:lvlJc w:val="left"/>
      <w:pPr>
        <w:ind w:left="360" w:hanging="360"/>
      </w:pPr>
      <w:rPr>
        <w:rFonts w:hint="default" w:ascii="Symbol" w:hAnsi="Symbol"/>
      </w:rPr>
    </w:lvl>
    <w:lvl w:ilvl="1" w:tplc="240A0003" w:tentative="1">
      <w:start w:val="1"/>
      <w:numFmt w:val="bullet"/>
      <w:lvlText w:val="o"/>
      <w:lvlJc w:val="left"/>
      <w:pPr>
        <w:ind w:left="1080" w:hanging="360"/>
      </w:pPr>
      <w:rPr>
        <w:rFonts w:hint="default" w:ascii="Courier New" w:hAnsi="Courier New" w:cs="Courier New"/>
      </w:rPr>
    </w:lvl>
    <w:lvl w:ilvl="2" w:tplc="240A0005" w:tentative="1">
      <w:start w:val="1"/>
      <w:numFmt w:val="bullet"/>
      <w:lvlText w:val=""/>
      <w:lvlJc w:val="left"/>
      <w:pPr>
        <w:ind w:left="1800" w:hanging="360"/>
      </w:pPr>
      <w:rPr>
        <w:rFonts w:hint="default" w:ascii="Wingdings" w:hAnsi="Wingdings"/>
      </w:rPr>
    </w:lvl>
    <w:lvl w:ilvl="3" w:tplc="240A0001" w:tentative="1">
      <w:start w:val="1"/>
      <w:numFmt w:val="bullet"/>
      <w:lvlText w:val=""/>
      <w:lvlJc w:val="left"/>
      <w:pPr>
        <w:ind w:left="2520" w:hanging="360"/>
      </w:pPr>
      <w:rPr>
        <w:rFonts w:hint="default" w:ascii="Symbol" w:hAnsi="Symbol"/>
      </w:rPr>
    </w:lvl>
    <w:lvl w:ilvl="4" w:tplc="240A0003" w:tentative="1">
      <w:start w:val="1"/>
      <w:numFmt w:val="bullet"/>
      <w:lvlText w:val="o"/>
      <w:lvlJc w:val="left"/>
      <w:pPr>
        <w:ind w:left="3240" w:hanging="360"/>
      </w:pPr>
      <w:rPr>
        <w:rFonts w:hint="default" w:ascii="Courier New" w:hAnsi="Courier New" w:cs="Courier New"/>
      </w:rPr>
    </w:lvl>
    <w:lvl w:ilvl="5" w:tplc="240A0005" w:tentative="1">
      <w:start w:val="1"/>
      <w:numFmt w:val="bullet"/>
      <w:lvlText w:val=""/>
      <w:lvlJc w:val="left"/>
      <w:pPr>
        <w:ind w:left="3960" w:hanging="360"/>
      </w:pPr>
      <w:rPr>
        <w:rFonts w:hint="default" w:ascii="Wingdings" w:hAnsi="Wingdings"/>
      </w:rPr>
    </w:lvl>
    <w:lvl w:ilvl="6" w:tplc="240A0001" w:tentative="1">
      <w:start w:val="1"/>
      <w:numFmt w:val="bullet"/>
      <w:lvlText w:val=""/>
      <w:lvlJc w:val="left"/>
      <w:pPr>
        <w:ind w:left="4680" w:hanging="360"/>
      </w:pPr>
      <w:rPr>
        <w:rFonts w:hint="default" w:ascii="Symbol" w:hAnsi="Symbol"/>
      </w:rPr>
    </w:lvl>
    <w:lvl w:ilvl="7" w:tplc="240A0003" w:tentative="1">
      <w:start w:val="1"/>
      <w:numFmt w:val="bullet"/>
      <w:lvlText w:val="o"/>
      <w:lvlJc w:val="left"/>
      <w:pPr>
        <w:ind w:left="5400" w:hanging="360"/>
      </w:pPr>
      <w:rPr>
        <w:rFonts w:hint="default" w:ascii="Courier New" w:hAnsi="Courier New" w:cs="Courier New"/>
      </w:rPr>
    </w:lvl>
    <w:lvl w:ilvl="8" w:tplc="240A0005" w:tentative="1">
      <w:start w:val="1"/>
      <w:numFmt w:val="bullet"/>
      <w:lvlText w:val=""/>
      <w:lvlJc w:val="left"/>
      <w:pPr>
        <w:ind w:left="6120" w:hanging="360"/>
      </w:pPr>
      <w:rPr>
        <w:rFonts w:hint="default" w:ascii="Wingdings" w:hAnsi="Wingdings"/>
      </w:rPr>
    </w:lvl>
  </w:abstractNum>
  <w:num w:numId="1" w16cid:durableId="41172838">
    <w:abstractNumId w:val="11"/>
  </w:num>
  <w:num w:numId="2" w16cid:durableId="368381134">
    <w:abstractNumId w:val="0"/>
  </w:num>
  <w:num w:numId="3" w16cid:durableId="354426049">
    <w:abstractNumId w:val="3"/>
  </w:num>
  <w:num w:numId="4" w16cid:durableId="2114158300">
    <w:abstractNumId w:val="2"/>
  </w:num>
  <w:num w:numId="5" w16cid:durableId="101344067">
    <w:abstractNumId w:val="10"/>
  </w:num>
  <w:num w:numId="6" w16cid:durableId="739788385">
    <w:abstractNumId w:val="7"/>
  </w:num>
  <w:num w:numId="7" w16cid:durableId="969088958">
    <w:abstractNumId w:val="16"/>
  </w:num>
  <w:num w:numId="8" w16cid:durableId="975257046">
    <w:abstractNumId w:val="14"/>
  </w:num>
  <w:num w:numId="9" w16cid:durableId="1294093969">
    <w:abstractNumId w:val="8"/>
  </w:num>
  <w:num w:numId="10" w16cid:durableId="1648313774">
    <w:abstractNumId w:val="13"/>
  </w:num>
  <w:num w:numId="11" w16cid:durableId="116265179">
    <w:abstractNumId w:val="12"/>
  </w:num>
  <w:num w:numId="12" w16cid:durableId="17633021">
    <w:abstractNumId w:val="1"/>
  </w:num>
  <w:num w:numId="13" w16cid:durableId="1872722411">
    <w:abstractNumId w:val="6"/>
  </w:num>
  <w:num w:numId="14" w16cid:durableId="168066437">
    <w:abstractNumId w:val="4"/>
  </w:num>
  <w:num w:numId="15" w16cid:durableId="1758938061">
    <w:abstractNumId w:val="9"/>
  </w:num>
  <w:num w:numId="16" w16cid:durableId="1032851431">
    <w:abstractNumId w:val="5"/>
  </w:num>
  <w:num w:numId="17" w16cid:durableId="61279051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proofState w:spelling="clean" w:grammar="dirty"/>
  <w:trackRevisions w:val="false"/>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4F3E"/>
    <w:rsid w:val="0000176A"/>
    <w:rsid w:val="00002C1F"/>
    <w:rsid w:val="000050B4"/>
    <w:rsid w:val="000058AF"/>
    <w:rsid w:val="00013EC2"/>
    <w:rsid w:val="00015F6E"/>
    <w:rsid w:val="0002513F"/>
    <w:rsid w:val="00025D21"/>
    <w:rsid w:val="00026C09"/>
    <w:rsid w:val="00031A79"/>
    <w:rsid w:val="00032D69"/>
    <w:rsid w:val="00036E54"/>
    <w:rsid w:val="00037B8D"/>
    <w:rsid w:val="000410D4"/>
    <w:rsid w:val="0004170A"/>
    <w:rsid w:val="00041856"/>
    <w:rsid w:val="00041B09"/>
    <w:rsid w:val="00042231"/>
    <w:rsid w:val="00042CC0"/>
    <w:rsid w:val="00043157"/>
    <w:rsid w:val="000440EE"/>
    <w:rsid w:val="000442FA"/>
    <w:rsid w:val="00044961"/>
    <w:rsid w:val="00046111"/>
    <w:rsid w:val="0005084D"/>
    <w:rsid w:val="000522E9"/>
    <w:rsid w:val="00070225"/>
    <w:rsid w:val="00071254"/>
    <w:rsid w:val="00074A74"/>
    <w:rsid w:val="00075C78"/>
    <w:rsid w:val="0007702B"/>
    <w:rsid w:val="0008263B"/>
    <w:rsid w:val="00082D3C"/>
    <w:rsid w:val="00086798"/>
    <w:rsid w:val="00091419"/>
    <w:rsid w:val="00091EBD"/>
    <w:rsid w:val="0009243B"/>
    <w:rsid w:val="0009243F"/>
    <w:rsid w:val="00096528"/>
    <w:rsid w:val="000A1173"/>
    <w:rsid w:val="000A1C8C"/>
    <w:rsid w:val="000A42DB"/>
    <w:rsid w:val="000A511E"/>
    <w:rsid w:val="000B02C3"/>
    <w:rsid w:val="000B1409"/>
    <w:rsid w:val="000B3335"/>
    <w:rsid w:val="000B372F"/>
    <w:rsid w:val="000B6EF5"/>
    <w:rsid w:val="000C08E7"/>
    <w:rsid w:val="000C68BF"/>
    <w:rsid w:val="000D6BA8"/>
    <w:rsid w:val="000E1EBD"/>
    <w:rsid w:val="000E41A3"/>
    <w:rsid w:val="000E4AB0"/>
    <w:rsid w:val="000E6775"/>
    <w:rsid w:val="000E6AF3"/>
    <w:rsid w:val="000E7874"/>
    <w:rsid w:val="000F3E3F"/>
    <w:rsid w:val="000F572B"/>
    <w:rsid w:val="0010620A"/>
    <w:rsid w:val="001125AE"/>
    <w:rsid w:val="0011351A"/>
    <w:rsid w:val="00122AD5"/>
    <w:rsid w:val="0012692F"/>
    <w:rsid w:val="00130159"/>
    <w:rsid w:val="0013754D"/>
    <w:rsid w:val="00137796"/>
    <w:rsid w:val="00137BF0"/>
    <w:rsid w:val="00140624"/>
    <w:rsid w:val="00142845"/>
    <w:rsid w:val="00146495"/>
    <w:rsid w:val="00151AE5"/>
    <w:rsid w:val="00155E0A"/>
    <w:rsid w:val="00156B80"/>
    <w:rsid w:val="00162213"/>
    <w:rsid w:val="00166FD9"/>
    <w:rsid w:val="00167694"/>
    <w:rsid w:val="00170DD8"/>
    <w:rsid w:val="001710D5"/>
    <w:rsid w:val="001717AC"/>
    <w:rsid w:val="00171D79"/>
    <w:rsid w:val="001738BF"/>
    <w:rsid w:val="0017438F"/>
    <w:rsid w:val="00177561"/>
    <w:rsid w:val="00182370"/>
    <w:rsid w:val="001833B8"/>
    <w:rsid w:val="001836FF"/>
    <w:rsid w:val="00183944"/>
    <w:rsid w:val="001865FC"/>
    <w:rsid w:val="001900FD"/>
    <w:rsid w:val="001907EF"/>
    <w:rsid w:val="00192082"/>
    <w:rsid w:val="00197BC2"/>
    <w:rsid w:val="001A17FC"/>
    <w:rsid w:val="001A2BC1"/>
    <w:rsid w:val="001A300A"/>
    <w:rsid w:val="001A5F29"/>
    <w:rsid w:val="001A644B"/>
    <w:rsid w:val="001B0A3F"/>
    <w:rsid w:val="001B3C8F"/>
    <w:rsid w:val="001B4B4D"/>
    <w:rsid w:val="001B547B"/>
    <w:rsid w:val="001B54E6"/>
    <w:rsid w:val="001B6F88"/>
    <w:rsid w:val="001B7A5A"/>
    <w:rsid w:val="001C1A8B"/>
    <w:rsid w:val="001C2928"/>
    <w:rsid w:val="001C318A"/>
    <w:rsid w:val="001C502D"/>
    <w:rsid w:val="001C6191"/>
    <w:rsid w:val="001C783C"/>
    <w:rsid w:val="001D10C9"/>
    <w:rsid w:val="001D1418"/>
    <w:rsid w:val="001D335E"/>
    <w:rsid w:val="001E1676"/>
    <w:rsid w:val="001E264E"/>
    <w:rsid w:val="001E2A5F"/>
    <w:rsid w:val="001E2B05"/>
    <w:rsid w:val="001E2E28"/>
    <w:rsid w:val="001F23E9"/>
    <w:rsid w:val="001F341D"/>
    <w:rsid w:val="001F39D1"/>
    <w:rsid w:val="001F3A60"/>
    <w:rsid w:val="001F62C5"/>
    <w:rsid w:val="001F639C"/>
    <w:rsid w:val="00200FFA"/>
    <w:rsid w:val="002010DF"/>
    <w:rsid w:val="0020147A"/>
    <w:rsid w:val="002064E7"/>
    <w:rsid w:val="00207D15"/>
    <w:rsid w:val="00210F47"/>
    <w:rsid w:val="002115BD"/>
    <w:rsid w:val="00211E26"/>
    <w:rsid w:val="00226067"/>
    <w:rsid w:val="002276F6"/>
    <w:rsid w:val="00230586"/>
    <w:rsid w:val="00240DC5"/>
    <w:rsid w:val="00240FBD"/>
    <w:rsid w:val="00242336"/>
    <w:rsid w:val="00243A29"/>
    <w:rsid w:val="00244160"/>
    <w:rsid w:val="00244568"/>
    <w:rsid w:val="00245B90"/>
    <w:rsid w:val="00245E0A"/>
    <w:rsid w:val="0024605F"/>
    <w:rsid w:val="00246DF0"/>
    <w:rsid w:val="00247823"/>
    <w:rsid w:val="00251827"/>
    <w:rsid w:val="002544A3"/>
    <w:rsid w:val="00257AF0"/>
    <w:rsid w:val="00257F2D"/>
    <w:rsid w:val="00263773"/>
    <w:rsid w:val="002708B0"/>
    <w:rsid w:val="00270925"/>
    <w:rsid w:val="00272295"/>
    <w:rsid w:val="00273236"/>
    <w:rsid w:val="002802E9"/>
    <w:rsid w:val="00280809"/>
    <w:rsid w:val="00280832"/>
    <w:rsid w:val="00282A7C"/>
    <w:rsid w:val="00284E4E"/>
    <w:rsid w:val="00290CBF"/>
    <w:rsid w:val="00291B05"/>
    <w:rsid w:val="00291C26"/>
    <w:rsid w:val="00294638"/>
    <w:rsid w:val="00296F6E"/>
    <w:rsid w:val="00297C21"/>
    <w:rsid w:val="002A0B81"/>
    <w:rsid w:val="002A1983"/>
    <w:rsid w:val="002A290B"/>
    <w:rsid w:val="002A3A9C"/>
    <w:rsid w:val="002A4409"/>
    <w:rsid w:val="002A573A"/>
    <w:rsid w:val="002B1E52"/>
    <w:rsid w:val="002B2928"/>
    <w:rsid w:val="002B3FB4"/>
    <w:rsid w:val="002B47B1"/>
    <w:rsid w:val="002B50C5"/>
    <w:rsid w:val="002B6223"/>
    <w:rsid w:val="002B6E6D"/>
    <w:rsid w:val="002C5273"/>
    <w:rsid w:val="002D14B3"/>
    <w:rsid w:val="002D1853"/>
    <w:rsid w:val="002D1910"/>
    <w:rsid w:val="002D3281"/>
    <w:rsid w:val="002D45BE"/>
    <w:rsid w:val="002D5348"/>
    <w:rsid w:val="002D55EF"/>
    <w:rsid w:val="002D5EEB"/>
    <w:rsid w:val="002D7577"/>
    <w:rsid w:val="002D766C"/>
    <w:rsid w:val="002E500C"/>
    <w:rsid w:val="002E77A9"/>
    <w:rsid w:val="002F3B75"/>
    <w:rsid w:val="002F6E53"/>
    <w:rsid w:val="002F6EFB"/>
    <w:rsid w:val="003009AD"/>
    <w:rsid w:val="003032AD"/>
    <w:rsid w:val="00304772"/>
    <w:rsid w:val="00307C18"/>
    <w:rsid w:val="00313232"/>
    <w:rsid w:val="00315EF8"/>
    <w:rsid w:val="00315F55"/>
    <w:rsid w:val="00316E61"/>
    <w:rsid w:val="00322690"/>
    <w:rsid w:val="00331DCF"/>
    <w:rsid w:val="00333A47"/>
    <w:rsid w:val="00333F74"/>
    <w:rsid w:val="00334BDA"/>
    <w:rsid w:val="0033523E"/>
    <w:rsid w:val="00335E54"/>
    <w:rsid w:val="00337412"/>
    <w:rsid w:val="00337F4F"/>
    <w:rsid w:val="00344850"/>
    <w:rsid w:val="00346AB9"/>
    <w:rsid w:val="00350B69"/>
    <w:rsid w:val="0035286D"/>
    <w:rsid w:val="00353853"/>
    <w:rsid w:val="00354525"/>
    <w:rsid w:val="00356173"/>
    <w:rsid w:val="00360D1F"/>
    <w:rsid w:val="003613F0"/>
    <w:rsid w:val="00361AF8"/>
    <w:rsid w:val="00361EF7"/>
    <w:rsid w:val="00364EFD"/>
    <w:rsid w:val="003718A8"/>
    <w:rsid w:val="00371927"/>
    <w:rsid w:val="00372C40"/>
    <w:rsid w:val="00373259"/>
    <w:rsid w:val="00375C04"/>
    <w:rsid w:val="00377A39"/>
    <w:rsid w:val="0038037C"/>
    <w:rsid w:val="00385080"/>
    <w:rsid w:val="00386536"/>
    <w:rsid w:val="003920E2"/>
    <w:rsid w:val="003927D7"/>
    <w:rsid w:val="00392B8F"/>
    <w:rsid w:val="00392F52"/>
    <w:rsid w:val="003941E0"/>
    <w:rsid w:val="00396132"/>
    <w:rsid w:val="003A0D28"/>
    <w:rsid w:val="003A1CF4"/>
    <w:rsid w:val="003A5580"/>
    <w:rsid w:val="003A630D"/>
    <w:rsid w:val="003B02C9"/>
    <w:rsid w:val="003B0C54"/>
    <w:rsid w:val="003B1B23"/>
    <w:rsid w:val="003B2BD3"/>
    <w:rsid w:val="003C294F"/>
    <w:rsid w:val="003C67DC"/>
    <w:rsid w:val="003C7DBC"/>
    <w:rsid w:val="003D1F74"/>
    <w:rsid w:val="003D67B8"/>
    <w:rsid w:val="003D74B7"/>
    <w:rsid w:val="003D7AB8"/>
    <w:rsid w:val="003E04F3"/>
    <w:rsid w:val="003E2AD8"/>
    <w:rsid w:val="003E2BA3"/>
    <w:rsid w:val="003E36AC"/>
    <w:rsid w:val="003E36BC"/>
    <w:rsid w:val="003E5200"/>
    <w:rsid w:val="003E66B0"/>
    <w:rsid w:val="003E7502"/>
    <w:rsid w:val="003F120F"/>
    <w:rsid w:val="003F256F"/>
    <w:rsid w:val="003F29FF"/>
    <w:rsid w:val="003F46F8"/>
    <w:rsid w:val="003F6B78"/>
    <w:rsid w:val="003F7AAB"/>
    <w:rsid w:val="00400EB1"/>
    <w:rsid w:val="00401749"/>
    <w:rsid w:val="00406891"/>
    <w:rsid w:val="00412D87"/>
    <w:rsid w:val="00413077"/>
    <w:rsid w:val="00414FFC"/>
    <w:rsid w:val="00416481"/>
    <w:rsid w:val="004164B4"/>
    <w:rsid w:val="00421C8A"/>
    <w:rsid w:val="0042587E"/>
    <w:rsid w:val="00426311"/>
    <w:rsid w:val="00431263"/>
    <w:rsid w:val="00434611"/>
    <w:rsid w:val="004355CA"/>
    <w:rsid w:val="00442117"/>
    <w:rsid w:val="004433B2"/>
    <w:rsid w:val="0044399B"/>
    <w:rsid w:val="00450046"/>
    <w:rsid w:val="00450489"/>
    <w:rsid w:val="0045136D"/>
    <w:rsid w:val="00453610"/>
    <w:rsid w:val="004669C9"/>
    <w:rsid w:val="004675CE"/>
    <w:rsid w:val="0047003E"/>
    <w:rsid w:val="00473D92"/>
    <w:rsid w:val="00476DB0"/>
    <w:rsid w:val="004845B0"/>
    <w:rsid w:val="00487A07"/>
    <w:rsid w:val="00490138"/>
    <w:rsid w:val="00490F87"/>
    <w:rsid w:val="00491FB2"/>
    <w:rsid w:val="00495AA2"/>
    <w:rsid w:val="004A0904"/>
    <w:rsid w:val="004A31CF"/>
    <w:rsid w:val="004A39A4"/>
    <w:rsid w:val="004B5D9C"/>
    <w:rsid w:val="004C04CB"/>
    <w:rsid w:val="004C1B3C"/>
    <w:rsid w:val="004C26BB"/>
    <w:rsid w:val="004C61AE"/>
    <w:rsid w:val="004D1833"/>
    <w:rsid w:val="004D328D"/>
    <w:rsid w:val="004D34F4"/>
    <w:rsid w:val="004D553C"/>
    <w:rsid w:val="004D5B8E"/>
    <w:rsid w:val="004E039B"/>
    <w:rsid w:val="004E1B6B"/>
    <w:rsid w:val="004E1CFF"/>
    <w:rsid w:val="004E3312"/>
    <w:rsid w:val="004E65E4"/>
    <w:rsid w:val="004E7398"/>
    <w:rsid w:val="004F28DC"/>
    <w:rsid w:val="004F59A0"/>
    <w:rsid w:val="0050354C"/>
    <w:rsid w:val="00511B53"/>
    <w:rsid w:val="00514216"/>
    <w:rsid w:val="005145B4"/>
    <w:rsid w:val="005157B3"/>
    <w:rsid w:val="005249E7"/>
    <w:rsid w:val="00526C2D"/>
    <w:rsid w:val="00530385"/>
    <w:rsid w:val="005331B3"/>
    <w:rsid w:val="00534CA7"/>
    <w:rsid w:val="00534E39"/>
    <w:rsid w:val="00542982"/>
    <w:rsid w:val="00544C69"/>
    <w:rsid w:val="0054797C"/>
    <w:rsid w:val="00550AC2"/>
    <w:rsid w:val="00550CD7"/>
    <w:rsid w:val="00550FB6"/>
    <w:rsid w:val="005525CD"/>
    <w:rsid w:val="005603F4"/>
    <w:rsid w:val="0057221C"/>
    <w:rsid w:val="005722C3"/>
    <w:rsid w:val="0057342C"/>
    <w:rsid w:val="00573533"/>
    <w:rsid w:val="005773D0"/>
    <w:rsid w:val="00582003"/>
    <w:rsid w:val="005861A9"/>
    <w:rsid w:val="00587F0C"/>
    <w:rsid w:val="00591162"/>
    <w:rsid w:val="00596BFE"/>
    <w:rsid w:val="00596FB0"/>
    <w:rsid w:val="00597F04"/>
    <w:rsid w:val="005A019A"/>
    <w:rsid w:val="005A193C"/>
    <w:rsid w:val="005A1B7D"/>
    <w:rsid w:val="005A2905"/>
    <w:rsid w:val="005A3ECE"/>
    <w:rsid w:val="005A4C7F"/>
    <w:rsid w:val="005A4E7F"/>
    <w:rsid w:val="005A5078"/>
    <w:rsid w:val="005A6660"/>
    <w:rsid w:val="005B11C0"/>
    <w:rsid w:val="005B59B3"/>
    <w:rsid w:val="005B60E7"/>
    <w:rsid w:val="005B73C5"/>
    <w:rsid w:val="005C613E"/>
    <w:rsid w:val="005D0710"/>
    <w:rsid w:val="005D2311"/>
    <w:rsid w:val="005D246D"/>
    <w:rsid w:val="005D3476"/>
    <w:rsid w:val="005D589C"/>
    <w:rsid w:val="005E5735"/>
    <w:rsid w:val="005E5744"/>
    <w:rsid w:val="005E6B5D"/>
    <w:rsid w:val="005F1425"/>
    <w:rsid w:val="005F19C4"/>
    <w:rsid w:val="005F2145"/>
    <w:rsid w:val="005F40A5"/>
    <w:rsid w:val="005F7AFB"/>
    <w:rsid w:val="006008E2"/>
    <w:rsid w:val="00603D9B"/>
    <w:rsid w:val="00604D9F"/>
    <w:rsid w:val="00605F0A"/>
    <w:rsid w:val="0060603B"/>
    <w:rsid w:val="00606EE8"/>
    <w:rsid w:val="006117D0"/>
    <w:rsid w:val="0061382A"/>
    <w:rsid w:val="00614159"/>
    <w:rsid w:val="00623BCA"/>
    <w:rsid w:val="00623C49"/>
    <w:rsid w:val="00625CEC"/>
    <w:rsid w:val="00626361"/>
    <w:rsid w:val="00634058"/>
    <w:rsid w:val="006343D3"/>
    <w:rsid w:val="0063504F"/>
    <w:rsid w:val="00643ADA"/>
    <w:rsid w:val="00644656"/>
    <w:rsid w:val="006457FA"/>
    <w:rsid w:val="00645AD1"/>
    <w:rsid w:val="006666A8"/>
    <w:rsid w:val="006762CC"/>
    <w:rsid w:val="006769D3"/>
    <w:rsid w:val="00676E19"/>
    <w:rsid w:val="00677011"/>
    <w:rsid w:val="00677514"/>
    <w:rsid w:val="0068094E"/>
    <w:rsid w:val="00682EC1"/>
    <w:rsid w:val="0068529F"/>
    <w:rsid w:val="006A1E28"/>
    <w:rsid w:val="006A7D4C"/>
    <w:rsid w:val="006B11C3"/>
    <w:rsid w:val="006B41B2"/>
    <w:rsid w:val="006B4387"/>
    <w:rsid w:val="006C0723"/>
    <w:rsid w:val="006C13A2"/>
    <w:rsid w:val="006C30A6"/>
    <w:rsid w:val="006C3286"/>
    <w:rsid w:val="006C42FB"/>
    <w:rsid w:val="006C7F4B"/>
    <w:rsid w:val="006C7FD8"/>
    <w:rsid w:val="006D1118"/>
    <w:rsid w:val="006D41BC"/>
    <w:rsid w:val="006D5029"/>
    <w:rsid w:val="006D600B"/>
    <w:rsid w:val="006F1C8E"/>
    <w:rsid w:val="006F2686"/>
    <w:rsid w:val="006F5392"/>
    <w:rsid w:val="006F67B6"/>
    <w:rsid w:val="0071005C"/>
    <w:rsid w:val="00710B40"/>
    <w:rsid w:val="00711BB5"/>
    <w:rsid w:val="0071318C"/>
    <w:rsid w:val="00720141"/>
    <w:rsid w:val="007209E3"/>
    <w:rsid w:val="00724655"/>
    <w:rsid w:val="00726930"/>
    <w:rsid w:val="00731025"/>
    <w:rsid w:val="007311B1"/>
    <w:rsid w:val="00732220"/>
    <w:rsid w:val="007340E3"/>
    <w:rsid w:val="007342C5"/>
    <w:rsid w:val="00740CE0"/>
    <w:rsid w:val="007412D4"/>
    <w:rsid w:val="00743EAE"/>
    <w:rsid w:val="00750587"/>
    <w:rsid w:val="007521DB"/>
    <w:rsid w:val="00753A3A"/>
    <w:rsid w:val="007549FA"/>
    <w:rsid w:val="00755135"/>
    <w:rsid w:val="00757495"/>
    <w:rsid w:val="0076282F"/>
    <w:rsid w:val="0076578B"/>
    <w:rsid w:val="0076628C"/>
    <w:rsid w:val="00766B80"/>
    <w:rsid w:val="0077087D"/>
    <w:rsid w:val="00770BB0"/>
    <w:rsid w:val="00774AB7"/>
    <w:rsid w:val="00775BD7"/>
    <w:rsid w:val="007761FA"/>
    <w:rsid w:val="00780E38"/>
    <w:rsid w:val="00781329"/>
    <w:rsid w:val="00782781"/>
    <w:rsid w:val="0078531B"/>
    <w:rsid w:val="0078798D"/>
    <w:rsid w:val="007971B7"/>
    <w:rsid w:val="007A0EBC"/>
    <w:rsid w:val="007A0F58"/>
    <w:rsid w:val="007A1C4F"/>
    <w:rsid w:val="007A50F4"/>
    <w:rsid w:val="007A61A2"/>
    <w:rsid w:val="007A6A76"/>
    <w:rsid w:val="007B02A2"/>
    <w:rsid w:val="007B0B27"/>
    <w:rsid w:val="007B29AE"/>
    <w:rsid w:val="007B4D55"/>
    <w:rsid w:val="007B512C"/>
    <w:rsid w:val="007B5384"/>
    <w:rsid w:val="007B6F0A"/>
    <w:rsid w:val="007C1186"/>
    <w:rsid w:val="007C301E"/>
    <w:rsid w:val="007C3151"/>
    <w:rsid w:val="007C499C"/>
    <w:rsid w:val="007C654B"/>
    <w:rsid w:val="007C6B19"/>
    <w:rsid w:val="007D0302"/>
    <w:rsid w:val="007D0462"/>
    <w:rsid w:val="007D12A3"/>
    <w:rsid w:val="007D2911"/>
    <w:rsid w:val="007D3845"/>
    <w:rsid w:val="007D45C4"/>
    <w:rsid w:val="007D6736"/>
    <w:rsid w:val="007E02A4"/>
    <w:rsid w:val="007E03BD"/>
    <w:rsid w:val="007E0C61"/>
    <w:rsid w:val="007E385C"/>
    <w:rsid w:val="007F32DC"/>
    <w:rsid w:val="007F4C53"/>
    <w:rsid w:val="007F4FD2"/>
    <w:rsid w:val="0080062A"/>
    <w:rsid w:val="008008DF"/>
    <w:rsid w:val="00802F28"/>
    <w:rsid w:val="0080316B"/>
    <w:rsid w:val="00806151"/>
    <w:rsid w:val="00810AFC"/>
    <w:rsid w:val="00814E94"/>
    <w:rsid w:val="008150EF"/>
    <w:rsid w:val="00815225"/>
    <w:rsid w:val="00820700"/>
    <w:rsid w:val="00820EE2"/>
    <w:rsid w:val="008220AE"/>
    <w:rsid w:val="00823198"/>
    <w:rsid w:val="0082362E"/>
    <w:rsid w:val="00825A46"/>
    <w:rsid w:val="00827D95"/>
    <w:rsid w:val="00831E4D"/>
    <w:rsid w:val="00832ECE"/>
    <w:rsid w:val="0083498E"/>
    <w:rsid w:val="00834DB0"/>
    <w:rsid w:val="00840EF3"/>
    <w:rsid w:val="008427F8"/>
    <w:rsid w:val="0084741D"/>
    <w:rsid w:val="00852709"/>
    <w:rsid w:val="00853ACE"/>
    <w:rsid w:val="008573BE"/>
    <w:rsid w:val="00865BC7"/>
    <w:rsid w:val="0087264B"/>
    <w:rsid w:val="00872BD7"/>
    <w:rsid w:val="00874507"/>
    <w:rsid w:val="0087721C"/>
    <w:rsid w:val="0088452F"/>
    <w:rsid w:val="00886FD2"/>
    <w:rsid w:val="00887DF4"/>
    <w:rsid w:val="00891DEC"/>
    <w:rsid w:val="00892143"/>
    <w:rsid w:val="0089275E"/>
    <w:rsid w:val="008930BE"/>
    <w:rsid w:val="0089722B"/>
    <w:rsid w:val="008975C4"/>
    <w:rsid w:val="008B0255"/>
    <w:rsid w:val="008B119F"/>
    <w:rsid w:val="008B1805"/>
    <w:rsid w:val="008B24E4"/>
    <w:rsid w:val="008B4645"/>
    <w:rsid w:val="008B4807"/>
    <w:rsid w:val="008B5086"/>
    <w:rsid w:val="008B5764"/>
    <w:rsid w:val="008C224A"/>
    <w:rsid w:val="008C34C4"/>
    <w:rsid w:val="008C424F"/>
    <w:rsid w:val="008C4901"/>
    <w:rsid w:val="008C7993"/>
    <w:rsid w:val="008D5765"/>
    <w:rsid w:val="008E120D"/>
    <w:rsid w:val="008E1B28"/>
    <w:rsid w:val="008E20DF"/>
    <w:rsid w:val="008E34E4"/>
    <w:rsid w:val="008F5B6A"/>
    <w:rsid w:val="008F707E"/>
    <w:rsid w:val="00903E1E"/>
    <w:rsid w:val="00906C34"/>
    <w:rsid w:val="0090780D"/>
    <w:rsid w:val="00913990"/>
    <w:rsid w:val="009151B6"/>
    <w:rsid w:val="00916636"/>
    <w:rsid w:val="00916EA7"/>
    <w:rsid w:val="00921AF2"/>
    <w:rsid w:val="009222AF"/>
    <w:rsid w:val="00922D2A"/>
    <w:rsid w:val="009304F6"/>
    <w:rsid w:val="00931598"/>
    <w:rsid w:val="00940B79"/>
    <w:rsid w:val="00942547"/>
    <w:rsid w:val="009441FA"/>
    <w:rsid w:val="00944A2C"/>
    <w:rsid w:val="00946163"/>
    <w:rsid w:val="009467CC"/>
    <w:rsid w:val="0094780F"/>
    <w:rsid w:val="00951CBB"/>
    <w:rsid w:val="00954562"/>
    <w:rsid w:val="00954722"/>
    <w:rsid w:val="0095689B"/>
    <w:rsid w:val="009601A8"/>
    <w:rsid w:val="0096072F"/>
    <w:rsid w:val="0096329A"/>
    <w:rsid w:val="00964EA2"/>
    <w:rsid w:val="009670D8"/>
    <w:rsid w:val="009677D9"/>
    <w:rsid w:val="0097187B"/>
    <w:rsid w:val="0097659E"/>
    <w:rsid w:val="00976B1B"/>
    <w:rsid w:val="009819B4"/>
    <w:rsid w:val="009824E5"/>
    <w:rsid w:val="00983F0E"/>
    <w:rsid w:val="00986319"/>
    <w:rsid w:val="00987838"/>
    <w:rsid w:val="0099351E"/>
    <w:rsid w:val="0099672A"/>
    <w:rsid w:val="009A215A"/>
    <w:rsid w:val="009A36B8"/>
    <w:rsid w:val="009A6BB5"/>
    <w:rsid w:val="009C02DE"/>
    <w:rsid w:val="009C05FF"/>
    <w:rsid w:val="009C0BCB"/>
    <w:rsid w:val="009C5D1A"/>
    <w:rsid w:val="009D2016"/>
    <w:rsid w:val="009D6785"/>
    <w:rsid w:val="009E1609"/>
    <w:rsid w:val="009E4D24"/>
    <w:rsid w:val="009E772A"/>
    <w:rsid w:val="009F4B0B"/>
    <w:rsid w:val="009F63BF"/>
    <w:rsid w:val="00A001A5"/>
    <w:rsid w:val="00A0579C"/>
    <w:rsid w:val="00A12068"/>
    <w:rsid w:val="00A15EF7"/>
    <w:rsid w:val="00A16E50"/>
    <w:rsid w:val="00A175A7"/>
    <w:rsid w:val="00A2349E"/>
    <w:rsid w:val="00A236C4"/>
    <w:rsid w:val="00A2407C"/>
    <w:rsid w:val="00A32908"/>
    <w:rsid w:val="00A33212"/>
    <w:rsid w:val="00A33F11"/>
    <w:rsid w:val="00A34532"/>
    <w:rsid w:val="00A36657"/>
    <w:rsid w:val="00A372F7"/>
    <w:rsid w:val="00A373CF"/>
    <w:rsid w:val="00A40AFE"/>
    <w:rsid w:val="00A411DD"/>
    <w:rsid w:val="00A43BE4"/>
    <w:rsid w:val="00A45DDA"/>
    <w:rsid w:val="00A471D8"/>
    <w:rsid w:val="00A519DE"/>
    <w:rsid w:val="00A5517C"/>
    <w:rsid w:val="00A60634"/>
    <w:rsid w:val="00A61050"/>
    <w:rsid w:val="00A715D6"/>
    <w:rsid w:val="00A734AC"/>
    <w:rsid w:val="00A767AC"/>
    <w:rsid w:val="00A82F46"/>
    <w:rsid w:val="00A8410D"/>
    <w:rsid w:val="00A908A4"/>
    <w:rsid w:val="00A909F7"/>
    <w:rsid w:val="00A92917"/>
    <w:rsid w:val="00A94E37"/>
    <w:rsid w:val="00A969C9"/>
    <w:rsid w:val="00AA17B5"/>
    <w:rsid w:val="00AC056A"/>
    <w:rsid w:val="00AC53C9"/>
    <w:rsid w:val="00AC64FA"/>
    <w:rsid w:val="00AD4243"/>
    <w:rsid w:val="00AD6DDE"/>
    <w:rsid w:val="00AE157D"/>
    <w:rsid w:val="00AE2EB8"/>
    <w:rsid w:val="00AE54C3"/>
    <w:rsid w:val="00AE5C78"/>
    <w:rsid w:val="00AE7E2C"/>
    <w:rsid w:val="00AF2455"/>
    <w:rsid w:val="00AF2E0C"/>
    <w:rsid w:val="00AF3979"/>
    <w:rsid w:val="00AF547A"/>
    <w:rsid w:val="00B00D62"/>
    <w:rsid w:val="00B0588E"/>
    <w:rsid w:val="00B05B5C"/>
    <w:rsid w:val="00B05C2F"/>
    <w:rsid w:val="00B11AD0"/>
    <w:rsid w:val="00B12489"/>
    <w:rsid w:val="00B13815"/>
    <w:rsid w:val="00B142ED"/>
    <w:rsid w:val="00B145AD"/>
    <w:rsid w:val="00B16374"/>
    <w:rsid w:val="00B168BE"/>
    <w:rsid w:val="00B2120F"/>
    <w:rsid w:val="00B21B51"/>
    <w:rsid w:val="00B226B2"/>
    <w:rsid w:val="00B2329A"/>
    <w:rsid w:val="00B236AE"/>
    <w:rsid w:val="00B26E69"/>
    <w:rsid w:val="00B330C2"/>
    <w:rsid w:val="00B35ECB"/>
    <w:rsid w:val="00B3669F"/>
    <w:rsid w:val="00B37296"/>
    <w:rsid w:val="00B4075B"/>
    <w:rsid w:val="00B42952"/>
    <w:rsid w:val="00B4299A"/>
    <w:rsid w:val="00B4497C"/>
    <w:rsid w:val="00B46784"/>
    <w:rsid w:val="00B47682"/>
    <w:rsid w:val="00B50149"/>
    <w:rsid w:val="00B51EFB"/>
    <w:rsid w:val="00B527DC"/>
    <w:rsid w:val="00B5384B"/>
    <w:rsid w:val="00B53BE0"/>
    <w:rsid w:val="00B6139C"/>
    <w:rsid w:val="00B61A36"/>
    <w:rsid w:val="00B61D02"/>
    <w:rsid w:val="00B65AD3"/>
    <w:rsid w:val="00B71340"/>
    <w:rsid w:val="00B71355"/>
    <w:rsid w:val="00B7449C"/>
    <w:rsid w:val="00B773C0"/>
    <w:rsid w:val="00B804D1"/>
    <w:rsid w:val="00B81B26"/>
    <w:rsid w:val="00B8369C"/>
    <w:rsid w:val="00B85B6D"/>
    <w:rsid w:val="00B87822"/>
    <w:rsid w:val="00B917FE"/>
    <w:rsid w:val="00B92372"/>
    <w:rsid w:val="00BA0C20"/>
    <w:rsid w:val="00BA3662"/>
    <w:rsid w:val="00BB0856"/>
    <w:rsid w:val="00BB2E2E"/>
    <w:rsid w:val="00BB365E"/>
    <w:rsid w:val="00BC04A5"/>
    <w:rsid w:val="00BC1B4B"/>
    <w:rsid w:val="00BC4C16"/>
    <w:rsid w:val="00BC5086"/>
    <w:rsid w:val="00BD2351"/>
    <w:rsid w:val="00BD4D60"/>
    <w:rsid w:val="00BE0E68"/>
    <w:rsid w:val="00BE1312"/>
    <w:rsid w:val="00BE3060"/>
    <w:rsid w:val="00C00560"/>
    <w:rsid w:val="00C01AB4"/>
    <w:rsid w:val="00C01E82"/>
    <w:rsid w:val="00C04E19"/>
    <w:rsid w:val="00C04E2D"/>
    <w:rsid w:val="00C158F1"/>
    <w:rsid w:val="00C16A21"/>
    <w:rsid w:val="00C171EE"/>
    <w:rsid w:val="00C26F14"/>
    <w:rsid w:val="00C301AB"/>
    <w:rsid w:val="00C34646"/>
    <w:rsid w:val="00C348B2"/>
    <w:rsid w:val="00C34DFB"/>
    <w:rsid w:val="00C353FA"/>
    <w:rsid w:val="00C4085F"/>
    <w:rsid w:val="00C408A9"/>
    <w:rsid w:val="00C4444E"/>
    <w:rsid w:val="00C45AB4"/>
    <w:rsid w:val="00C45BEA"/>
    <w:rsid w:val="00C45CD4"/>
    <w:rsid w:val="00C473BE"/>
    <w:rsid w:val="00C51346"/>
    <w:rsid w:val="00C530FE"/>
    <w:rsid w:val="00C55FEB"/>
    <w:rsid w:val="00C62CAF"/>
    <w:rsid w:val="00C65AAE"/>
    <w:rsid w:val="00C676CE"/>
    <w:rsid w:val="00C72921"/>
    <w:rsid w:val="00C75053"/>
    <w:rsid w:val="00C75528"/>
    <w:rsid w:val="00C76E50"/>
    <w:rsid w:val="00C8515A"/>
    <w:rsid w:val="00C90769"/>
    <w:rsid w:val="00C92BB4"/>
    <w:rsid w:val="00C935B3"/>
    <w:rsid w:val="00C935B6"/>
    <w:rsid w:val="00C9478F"/>
    <w:rsid w:val="00C95D8A"/>
    <w:rsid w:val="00C96847"/>
    <w:rsid w:val="00CA1DA2"/>
    <w:rsid w:val="00CA331B"/>
    <w:rsid w:val="00CA4210"/>
    <w:rsid w:val="00CA4C4E"/>
    <w:rsid w:val="00CA512B"/>
    <w:rsid w:val="00CB015C"/>
    <w:rsid w:val="00CB3F9D"/>
    <w:rsid w:val="00CB580F"/>
    <w:rsid w:val="00CC0BCD"/>
    <w:rsid w:val="00CC401A"/>
    <w:rsid w:val="00CD3ED2"/>
    <w:rsid w:val="00CD659F"/>
    <w:rsid w:val="00CE170C"/>
    <w:rsid w:val="00CF0642"/>
    <w:rsid w:val="00CF3657"/>
    <w:rsid w:val="00CF3F03"/>
    <w:rsid w:val="00CF431D"/>
    <w:rsid w:val="00D03E73"/>
    <w:rsid w:val="00D079D8"/>
    <w:rsid w:val="00D07F05"/>
    <w:rsid w:val="00D12706"/>
    <w:rsid w:val="00D137B6"/>
    <w:rsid w:val="00D176B6"/>
    <w:rsid w:val="00D20D97"/>
    <w:rsid w:val="00D21B88"/>
    <w:rsid w:val="00D253BE"/>
    <w:rsid w:val="00D259D9"/>
    <w:rsid w:val="00D31092"/>
    <w:rsid w:val="00D44754"/>
    <w:rsid w:val="00D458F1"/>
    <w:rsid w:val="00D46532"/>
    <w:rsid w:val="00D47D7F"/>
    <w:rsid w:val="00D521DC"/>
    <w:rsid w:val="00D5222B"/>
    <w:rsid w:val="00D53391"/>
    <w:rsid w:val="00D56C6E"/>
    <w:rsid w:val="00D609BE"/>
    <w:rsid w:val="00D62DC8"/>
    <w:rsid w:val="00D63B48"/>
    <w:rsid w:val="00D63C88"/>
    <w:rsid w:val="00D645FF"/>
    <w:rsid w:val="00D67ECA"/>
    <w:rsid w:val="00D717F3"/>
    <w:rsid w:val="00D71CB7"/>
    <w:rsid w:val="00D7265B"/>
    <w:rsid w:val="00D749D9"/>
    <w:rsid w:val="00D858CD"/>
    <w:rsid w:val="00D92A44"/>
    <w:rsid w:val="00D95B6C"/>
    <w:rsid w:val="00DA097F"/>
    <w:rsid w:val="00DA1F63"/>
    <w:rsid w:val="00DB6A2E"/>
    <w:rsid w:val="00DB728B"/>
    <w:rsid w:val="00DC5DDF"/>
    <w:rsid w:val="00DD4685"/>
    <w:rsid w:val="00DE302B"/>
    <w:rsid w:val="00DE4BDC"/>
    <w:rsid w:val="00DE6660"/>
    <w:rsid w:val="00DE786F"/>
    <w:rsid w:val="00DF22F8"/>
    <w:rsid w:val="00E02A7E"/>
    <w:rsid w:val="00E0316D"/>
    <w:rsid w:val="00E03C4D"/>
    <w:rsid w:val="00E0501F"/>
    <w:rsid w:val="00E052A3"/>
    <w:rsid w:val="00E05AE7"/>
    <w:rsid w:val="00E05C90"/>
    <w:rsid w:val="00E05E5E"/>
    <w:rsid w:val="00E06065"/>
    <w:rsid w:val="00E06979"/>
    <w:rsid w:val="00E0701D"/>
    <w:rsid w:val="00E07874"/>
    <w:rsid w:val="00E1010D"/>
    <w:rsid w:val="00E1037C"/>
    <w:rsid w:val="00E12A96"/>
    <w:rsid w:val="00E14B70"/>
    <w:rsid w:val="00E14D33"/>
    <w:rsid w:val="00E211BB"/>
    <w:rsid w:val="00E21CB3"/>
    <w:rsid w:val="00E27B8C"/>
    <w:rsid w:val="00E30F48"/>
    <w:rsid w:val="00E32E78"/>
    <w:rsid w:val="00E365AF"/>
    <w:rsid w:val="00E37D33"/>
    <w:rsid w:val="00E406D7"/>
    <w:rsid w:val="00E411D3"/>
    <w:rsid w:val="00E44B0F"/>
    <w:rsid w:val="00E46395"/>
    <w:rsid w:val="00E5167C"/>
    <w:rsid w:val="00E51DD2"/>
    <w:rsid w:val="00E533F1"/>
    <w:rsid w:val="00E611EC"/>
    <w:rsid w:val="00E612A8"/>
    <w:rsid w:val="00E625C7"/>
    <w:rsid w:val="00E65011"/>
    <w:rsid w:val="00E6663F"/>
    <w:rsid w:val="00E67231"/>
    <w:rsid w:val="00E75DFD"/>
    <w:rsid w:val="00E7792D"/>
    <w:rsid w:val="00E802C5"/>
    <w:rsid w:val="00E81E0A"/>
    <w:rsid w:val="00E86CEF"/>
    <w:rsid w:val="00E86DE3"/>
    <w:rsid w:val="00E87654"/>
    <w:rsid w:val="00E87A1E"/>
    <w:rsid w:val="00E907FC"/>
    <w:rsid w:val="00E96867"/>
    <w:rsid w:val="00E96B80"/>
    <w:rsid w:val="00E96E5C"/>
    <w:rsid w:val="00EA0EC3"/>
    <w:rsid w:val="00EA1555"/>
    <w:rsid w:val="00EA1C65"/>
    <w:rsid w:val="00EA1DDE"/>
    <w:rsid w:val="00EA1ECF"/>
    <w:rsid w:val="00EA208C"/>
    <w:rsid w:val="00EA332D"/>
    <w:rsid w:val="00EA60C0"/>
    <w:rsid w:val="00EA6DB6"/>
    <w:rsid w:val="00EA7F96"/>
    <w:rsid w:val="00EB32A1"/>
    <w:rsid w:val="00EB4E51"/>
    <w:rsid w:val="00EB5A32"/>
    <w:rsid w:val="00EB68B5"/>
    <w:rsid w:val="00EC3B49"/>
    <w:rsid w:val="00EC3F7D"/>
    <w:rsid w:val="00EC4CE3"/>
    <w:rsid w:val="00EC529A"/>
    <w:rsid w:val="00EC5703"/>
    <w:rsid w:val="00EC58B3"/>
    <w:rsid w:val="00EC5BE1"/>
    <w:rsid w:val="00EE2BA5"/>
    <w:rsid w:val="00EE2E40"/>
    <w:rsid w:val="00EE3589"/>
    <w:rsid w:val="00EE7D00"/>
    <w:rsid w:val="00EF24D1"/>
    <w:rsid w:val="00EF2892"/>
    <w:rsid w:val="00EF3D34"/>
    <w:rsid w:val="00EF4445"/>
    <w:rsid w:val="00EF51CF"/>
    <w:rsid w:val="00EF5317"/>
    <w:rsid w:val="00EF63DE"/>
    <w:rsid w:val="00EF656A"/>
    <w:rsid w:val="00EF722F"/>
    <w:rsid w:val="00EF751C"/>
    <w:rsid w:val="00EF7525"/>
    <w:rsid w:val="00F01979"/>
    <w:rsid w:val="00F0204A"/>
    <w:rsid w:val="00F06D81"/>
    <w:rsid w:val="00F2311C"/>
    <w:rsid w:val="00F2692C"/>
    <w:rsid w:val="00F4064E"/>
    <w:rsid w:val="00F420DF"/>
    <w:rsid w:val="00F42FF7"/>
    <w:rsid w:val="00F43235"/>
    <w:rsid w:val="00F43813"/>
    <w:rsid w:val="00F44185"/>
    <w:rsid w:val="00F44F3E"/>
    <w:rsid w:val="00F460BC"/>
    <w:rsid w:val="00F60085"/>
    <w:rsid w:val="00F6051A"/>
    <w:rsid w:val="00F61699"/>
    <w:rsid w:val="00F62E6A"/>
    <w:rsid w:val="00F640B5"/>
    <w:rsid w:val="00F64497"/>
    <w:rsid w:val="00F674DA"/>
    <w:rsid w:val="00F72EF4"/>
    <w:rsid w:val="00F76CCB"/>
    <w:rsid w:val="00F80C0B"/>
    <w:rsid w:val="00F8286D"/>
    <w:rsid w:val="00F82947"/>
    <w:rsid w:val="00F854C7"/>
    <w:rsid w:val="00F871DC"/>
    <w:rsid w:val="00F968FB"/>
    <w:rsid w:val="00FA02D9"/>
    <w:rsid w:val="00FA0C3D"/>
    <w:rsid w:val="00FA1B97"/>
    <w:rsid w:val="00FA23AE"/>
    <w:rsid w:val="00FB0DBB"/>
    <w:rsid w:val="00FB481E"/>
    <w:rsid w:val="00FB4970"/>
    <w:rsid w:val="00FB7A0B"/>
    <w:rsid w:val="00FC15AF"/>
    <w:rsid w:val="00FC3615"/>
    <w:rsid w:val="00FC3645"/>
    <w:rsid w:val="00FC3E33"/>
    <w:rsid w:val="00FC4D77"/>
    <w:rsid w:val="00FC4E5F"/>
    <w:rsid w:val="00FC5144"/>
    <w:rsid w:val="00FD0587"/>
    <w:rsid w:val="00FD19B2"/>
    <w:rsid w:val="00FD1A61"/>
    <w:rsid w:val="00FD2FD6"/>
    <w:rsid w:val="00FD3C8C"/>
    <w:rsid w:val="00FD6B72"/>
    <w:rsid w:val="00FE60EF"/>
    <w:rsid w:val="00FE6245"/>
    <w:rsid w:val="00FF03DD"/>
    <w:rsid w:val="00FF3099"/>
    <w:rsid w:val="00FF59BF"/>
    <w:rsid w:val="01D319CD"/>
    <w:rsid w:val="01E76675"/>
    <w:rsid w:val="026D780E"/>
    <w:rsid w:val="0346D696"/>
    <w:rsid w:val="039AF2C8"/>
    <w:rsid w:val="05599FE0"/>
    <w:rsid w:val="05E650BA"/>
    <w:rsid w:val="062F62A9"/>
    <w:rsid w:val="0655AD5E"/>
    <w:rsid w:val="06CBBA79"/>
    <w:rsid w:val="06CC43B8"/>
    <w:rsid w:val="081E9F5D"/>
    <w:rsid w:val="0842B563"/>
    <w:rsid w:val="08AE8790"/>
    <w:rsid w:val="09B92D84"/>
    <w:rsid w:val="09DC4B75"/>
    <w:rsid w:val="0A479B43"/>
    <w:rsid w:val="0B5D4E62"/>
    <w:rsid w:val="0BC9BA97"/>
    <w:rsid w:val="0BCFA743"/>
    <w:rsid w:val="0BF71E08"/>
    <w:rsid w:val="0EA70D71"/>
    <w:rsid w:val="0EE1E9DD"/>
    <w:rsid w:val="0FEC4E9D"/>
    <w:rsid w:val="104C0721"/>
    <w:rsid w:val="10E06619"/>
    <w:rsid w:val="10E43F53"/>
    <w:rsid w:val="10FCD523"/>
    <w:rsid w:val="11375F7C"/>
    <w:rsid w:val="134F40D3"/>
    <w:rsid w:val="137FBB2D"/>
    <w:rsid w:val="14731CF3"/>
    <w:rsid w:val="14802046"/>
    <w:rsid w:val="152E2880"/>
    <w:rsid w:val="15417486"/>
    <w:rsid w:val="15692869"/>
    <w:rsid w:val="1655FEC1"/>
    <w:rsid w:val="17BB927D"/>
    <w:rsid w:val="180EA0AE"/>
    <w:rsid w:val="1838CE1B"/>
    <w:rsid w:val="18577597"/>
    <w:rsid w:val="19C90E33"/>
    <w:rsid w:val="1A61D931"/>
    <w:rsid w:val="1A70E52A"/>
    <w:rsid w:val="1AE32A4C"/>
    <w:rsid w:val="1AE39A27"/>
    <w:rsid w:val="1B0DBC7C"/>
    <w:rsid w:val="1C30AE9F"/>
    <w:rsid w:val="1C4B0C1C"/>
    <w:rsid w:val="1DDA7581"/>
    <w:rsid w:val="1E004211"/>
    <w:rsid w:val="1F81C426"/>
    <w:rsid w:val="20432A9E"/>
    <w:rsid w:val="204B1E51"/>
    <w:rsid w:val="2081A5DD"/>
    <w:rsid w:val="20F8BC20"/>
    <w:rsid w:val="214F1BDF"/>
    <w:rsid w:val="23125E22"/>
    <w:rsid w:val="233E4BAF"/>
    <w:rsid w:val="25F71888"/>
    <w:rsid w:val="264E243D"/>
    <w:rsid w:val="26DF9BB9"/>
    <w:rsid w:val="277B772D"/>
    <w:rsid w:val="27892A69"/>
    <w:rsid w:val="28E7E2CF"/>
    <w:rsid w:val="299734E6"/>
    <w:rsid w:val="29E7C3F2"/>
    <w:rsid w:val="2B9179E2"/>
    <w:rsid w:val="2BA98055"/>
    <w:rsid w:val="2C399CA7"/>
    <w:rsid w:val="2C67C108"/>
    <w:rsid w:val="2C7A8FB3"/>
    <w:rsid w:val="2D35CC74"/>
    <w:rsid w:val="2D40D020"/>
    <w:rsid w:val="2D73F1F5"/>
    <w:rsid w:val="2E388141"/>
    <w:rsid w:val="2EC761D8"/>
    <w:rsid w:val="2F3592EE"/>
    <w:rsid w:val="2F526EF6"/>
    <w:rsid w:val="30048692"/>
    <w:rsid w:val="3259ACB9"/>
    <w:rsid w:val="328118D6"/>
    <w:rsid w:val="3341E390"/>
    <w:rsid w:val="3363E5E2"/>
    <w:rsid w:val="34705628"/>
    <w:rsid w:val="351E7217"/>
    <w:rsid w:val="36973E9B"/>
    <w:rsid w:val="36ED8445"/>
    <w:rsid w:val="37768AEA"/>
    <w:rsid w:val="37C3B6A8"/>
    <w:rsid w:val="38028582"/>
    <w:rsid w:val="380B3E7C"/>
    <w:rsid w:val="3899CB68"/>
    <w:rsid w:val="389F1DA9"/>
    <w:rsid w:val="39102DDB"/>
    <w:rsid w:val="391075AB"/>
    <w:rsid w:val="39B40AA5"/>
    <w:rsid w:val="39F40BE5"/>
    <w:rsid w:val="3A4BA2A9"/>
    <w:rsid w:val="3A5EA8F1"/>
    <w:rsid w:val="3B3B123D"/>
    <w:rsid w:val="3C445A22"/>
    <w:rsid w:val="3D94551C"/>
    <w:rsid w:val="3EA2EF77"/>
    <w:rsid w:val="3FFFD546"/>
    <w:rsid w:val="40A9356F"/>
    <w:rsid w:val="41256FA4"/>
    <w:rsid w:val="41E7D65E"/>
    <w:rsid w:val="43562C7C"/>
    <w:rsid w:val="435777AB"/>
    <w:rsid w:val="440A950A"/>
    <w:rsid w:val="44727934"/>
    <w:rsid w:val="449D02CA"/>
    <w:rsid w:val="450B9337"/>
    <w:rsid w:val="451D9D80"/>
    <w:rsid w:val="4647F285"/>
    <w:rsid w:val="4745E70F"/>
    <w:rsid w:val="47853056"/>
    <w:rsid w:val="48753E57"/>
    <w:rsid w:val="48B1B031"/>
    <w:rsid w:val="48DB031C"/>
    <w:rsid w:val="4A4BC85C"/>
    <w:rsid w:val="4B25B153"/>
    <w:rsid w:val="4B79D395"/>
    <w:rsid w:val="4C1ACC73"/>
    <w:rsid w:val="4D696F4E"/>
    <w:rsid w:val="4DEF5F02"/>
    <w:rsid w:val="4F899473"/>
    <w:rsid w:val="508E0CEA"/>
    <w:rsid w:val="51F9BE15"/>
    <w:rsid w:val="5397E28E"/>
    <w:rsid w:val="53DD9BC4"/>
    <w:rsid w:val="54C46355"/>
    <w:rsid w:val="54EDE27B"/>
    <w:rsid w:val="557AAAC6"/>
    <w:rsid w:val="55BEFA3E"/>
    <w:rsid w:val="57159222"/>
    <w:rsid w:val="5754BED6"/>
    <w:rsid w:val="576E8FC5"/>
    <w:rsid w:val="59464DC7"/>
    <w:rsid w:val="5B061491"/>
    <w:rsid w:val="5B39DCDA"/>
    <w:rsid w:val="5C1B5E4D"/>
    <w:rsid w:val="5C317206"/>
    <w:rsid w:val="5C94FD88"/>
    <w:rsid w:val="5CB41A10"/>
    <w:rsid w:val="5CD43E67"/>
    <w:rsid w:val="5CE69CFF"/>
    <w:rsid w:val="5DFBC755"/>
    <w:rsid w:val="5DFF0817"/>
    <w:rsid w:val="5E37EB75"/>
    <w:rsid w:val="60518330"/>
    <w:rsid w:val="60C9B577"/>
    <w:rsid w:val="616B1ECD"/>
    <w:rsid w:val="62040291"/>
    <w:rsid w:val="621B03B8"/>
    <w:rsid w:val="62B1DC08"/>
    <w:rsid w:val="62BFA67E"/>
    <w:rsid w:val="64507BA5"/>
    <w:rsid w:val="6553D0DA"/>
    <w:rsid w:val="657E693D"/>
    <w:rsid w:val="661F0E64"/>
    <w:rsid w:val="6647C93E"/>
    <w:rsid w:val="6655811F"/>
    <w:rsid w:val="66CD1504"/>
    <w:rsid w:val="66D7D016"/>
    <w:rsid w:val="672D7B6A"/>
    <w:rsid w:val="68195DE8"/>
    <w:rsid w:val="69238621"/>
    <w:rsid w:val="697CFAC6"/>
    <w:rsid w:val="698C35BE"/>
    <w:rsid w:val="69F4DFAF"/>
    <w:rsid w:val="6B45F71B"/>
    <w:rsid w:val="6B65A008"/>
    <w:rsid w:val="6C1A52BA"/>
    <w:rsid w:val="6C2149D0"/>
    <w:rsid w:val="6D007376"/>
    <w:rsid w:val="6E015924"/>
    <w:rsid w:val="6FCE897E"/>
    <w:rsid w:val="71AC3696"/>
    <w:rsid w:val="71BB76D1"/>
    <w:rsid w:val="71D668A7"/>
    <w:rsid w:val="71E197BC"/>
    <w:rsid w:val="721E4173"/>
    <w:rsid w:val="731C0106"/>
    <w:rsid w:val="73880324"/>
    <w:rsid w:val="73D2964A"/>
    <w:rsid w:val="73DF6255"/>
    <w:rsid w:val="74B086B8"/>
    <w:rsid w:val="74F359A3"/>
    <w:rsid w:val="74FEF758"/>
    <w:rsid w:val="750CA44B"/>
    <w:rsid w:val="75957C8B"/>
    <w:rsid w:val="75E30AF4"/>
    <w:rsid w:val="761C6B5F"/>
    <w:rsid w:val="766807DA"/>
    <w:rsid w:val="769C2D3A"/>
    <w:rsid w:val="76C74DC4"/>
    <w:rsid w:val="779C448A"/>
    <w:rsid w:val="78D61EF3"/>
    <w:rsid w:val="798FA5A3"/>
    <w:rsid w:val="7A6DCB5C"/>
    <w:rsid w:val="7ADCE703"/>
    <w:rsid w:val="7B9EB35A"/>
    <w:rsid w:val="7C15CC95"/>
    <w:rsid w:val="7C3B2CED"/>
    <w:rsid w:val="7CC5C7B1"/>
    <w:rsid w:val="7D01205F"/>
    <w:rsid w:val="7E2C3E71"/>
    <w:rsid w:val="7E534878"/>
    <w:rsid w:val="7EFE4302"/>
    <w:rsid w:val="7FFC099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296490"/>
  <w15:chartTrackingRefBased/>
  <w15:docId w15:val="{D9E7279C-55BA-4472-BD5A-EE89C56F26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cs="Arial" w:eastAsiaTheme="minorHAnsi"/>
        <w:kern w:val="2"/>
        <w:sz w:val="24"/>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uiPriority w:val="1"/>
    <w:qFormat/>
    <w:rsid w:val="00F44F3E"/>
    <w:pPr>
      <w:spacing w:after="0" w:line="240" w:lineRule="auto"/>
    </w:pPr>
    <w:rPr>
      <w:rFonts w:ascii="Times New Roman" w:hAnsi="Times New Roman" w:eastAsia="Times New Roman" w:cs="Times New Roman"/>
      <w:kern w:val="0"/>
      <w:szCs w:val="24"/>
      <w:lang w:eastAsia="es-CO"/>
      <w14:ligatures w14:val="none"/>
    </w:rPr>
  </w:style>
  <w:style w:type="paragraph" w:styleId="Heading1">
    <w:name w:val="heading 1"/>
    <w:aliases w:val="Titulo"/>
    <w:basedOn w:val="Normal"/>
    <w:next w:val="Normal"/>
    <w:link w:val="Heading1Char"/>
    <w:uiPriority w:val="9"/>
    <w:qFormat/>
    <w:rsid w:val="00F44F3E"/>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F44F3E"/>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F44F3E"/>
    <w:pPr>
      <w:keepNext/>
      <w:keepLines/>
      <w:spacing w:before="160" w:after="80"/>
      <w:outlineLvl w:val="2"/>
    </w:pPr>
    <w:rPr>
      <w:rFonts w:asciiTheme="minorHAnsi" w:hAnsiTheme="minorHAnsi"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F44F3E"/>
    <w:pPr>
      <w:keepNext/>
      <w:keepLines/>
      <w:spacing w:before="80" w:after="40"/>
      <w:outlineLvl w:val="3"/>
    </w:pPr>
    <w:rPr>
      <w:rFonts w:asciiTheme="minorHAnsi" w:hAnsiTheme="minorHAnsi"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F44F3E"/>
    <w:pPr>
      <w:keepNext/>
      <w:keepLines/>
      <w:spacing w:before="80" w:after="40"/>
      <w:outlineLvl w:val="4"/>
    </w:pPr>
    <w:rPr>
      <w:rFonts w:asciiTheme="minorHAnsi" w:hAnsiTheme="minorHAnsi"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F44F3E"/>
    <w:pPr>
      <w:keepNext/>
      <w:keepLines/>
      <w:spacing w:before="40"/>
      <w:outlineLvl w:val="5"/>
    </w:pPr>
    <w:rPr>
      <w:rFonts w:asciiTheme="minorHAnsi" w:hAnsiTheme="minorHAnsi"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44F3E"/>
    <w:pPr>
      <w:keepNext/>
      <w:keepLines/>
      <w:spacing w:before="40"/>
      <w:outlineLvl w:val="6"/>
    </w:pPr>
    <w:rPr>
      <w:rFonts w:asciiTheme="minorHAnsi" w:hAnsiTheme="minorHAnsi"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44F3E"/>
    <w:pPr>
      <w:keepNext/>
      <w:keepLines/>
      <w:outlineLvl w:val="7"/>
    </w:pPr>
    <w:rPr>
      <w:rFonts w:asciiTheme="minorHAnsi" w:hAnsiTheme="minorHAnsi"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44F3E"/>
    <w:pPr>
      <w:keepNext/>
      <w:keepLines/>
      <w:outlineLvl w:val="8"/>
    </w:pPr>
    <w:rPr>
      <w:rFonts w:asciiTheme="minorHAnsi" w:hAnsiTheme="minorHAnsi"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aliases w:val="Titulo Char"/>
    <w:basedOn w:val="DefaultParagraphFont"/>
    <w:link w:val="Heading1"/>
    <w:uiPriority w:val="9"/>
    <w:rsid w:val="00F44F3E"/>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semiHidden/>
    <w:rsid w:val="00F44F3E"/>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rsid w:val="00F44F3E"/>
    <w:rPr>
      <w:rFonts w:asciiTheme="minorHAnsi" w:hAnsiTheme="minorHAnsi"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rsid w:val="00F44F3E"/>
    <w:rPr>
      <w:rFonts w:asciiTheme="minorHAnsi" w:hAnsiTheme="minorHAnsi"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F44F3E"/>
    <w:rPr>
      <w:rFonts w:asciiTheme="minorHAnsi" w:hAnsiTheme="minorHAnsi"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F44F3E"/>
    <w:rPr>
      <w:rFonts w:asciiTheme="minorHAnsi" w:hAnsiTheme="minorHAnsi"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F44F3E"/>
    <w:rPr>
      <w:rFonts w:asciiTheme="minorHAnsi" w:hAnsiTheme="minorHAnsi"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F44F3E"/>
    <w:rPr>
      <w:rFonts w:asciiTheme="minorHAnsi" w:hAnsiTheme="minorHAnsi"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F44F3E"/>
    <w:rPr>
      <w:rFonts w:asciiTheme="minorHAnsi" w:hAnsiTheme="minorHAnsi" w:eastAsiaTheme="majorEastAsia" w:cstheme="majorBidi"/>
      <w:color w:val="272727" w:themeColor="text1" w:themeTint="D8"/>
    </w:rPr>
  </w:style>
  <w:style w:type="paragraph" w:styleId="Title">
    <w:name w:val="Title"/>
    <w:basedOn w:val="Normal"/>
    <w:next w:val="Normal"/>
    <w:link w:val="TitleChar"/>
    <w:uiPriority w:val="10"/>
    <w:qFormat/>
    <w:rsid w:val="00F44F3E"/>
    <w:pPr>
      <w:spacing w:after="80"/>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F44F3E"/>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qFormat/>
    <w:rsid w:val="00F44F3E"/>
    <w:pPr>
      <w:numPr>
        <w:ilvl w:val="1"/>
      </w:numPr>
    </w:pPr>
    <w:rPr>
      <w:rFonts w:asciiTheme="minorHAnsi" w:hAnsiTheme="minorHAnsi"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F44F3E"/>
    <w:rPr>
      <w:rFonts w:asciiTheme="minorHAnsi" w:hAnsiTheme="minorHAnsi"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44F3E"/>
    <w:pPr>
      <w:spacing w:before="160"/>
      <w:jc w:val="center"/>
    </w:pPr>
    <w:rPr>
      <w:i/>
      <w:iCs/>
      <w:color w:val="404040" w:themeColor="text1" w:themeTint="BF"/>
    </w:rPr>
  </w:style>
  <w:style w:type="character" w:styleId="QuoteChar" w:customStyle="1">
    <w:name w:val="Quote Char"/>
    <w:basedOn w:val="DefaultParagraphFont"/>
    <w:link w:val="Quote"/>
    <w:uiPriority w:val="29"/>
    <w:rsid w:val="00F44F3E"/>
    <w:rPr>
      <w:i/>
      <w:iCs/>
      <w:color w:val="404040" w:themeColor="text1" w:themeTint="BF"/>
    </w:rPr>
  </w:style>
  <w:style w:type="paragraph" w:styleId="ListParagraph">
    <w:name w:val="List Paragraph"/>
    <w:aliases w:val="Bullet List,FooterText,List Paragraph1,numbered,Paragraphe de liste1,Bulletr List Paragraph,Foot,列出段落,列出段落1,List Paragraph2,List Paragraph21,Párrafo de lista1,Parágrafo da Lista1,リスト段落1,Listeafsnit1,Ha,titulo 3,HOJA,Bolita,BOLADEF,BOLA"/>
    <w:basedOn w:val="Normal"/>
    <w:link w:val="ListParagraphChar"/>
    <w:uiPriority w:val="34"/>
    <w:qFormat/>
    <w:rsid w:val="00F44F3E"/>
    <w:pPr>
      <w:ind w:left="720"/>
      <w:contextualSpacing/>
    </w:pPr>
  </w:style>
  <w:style w:type="character" w:styleId="IntenseEmphasis">
    <w:name w:val="Intense Emphasis"/>
    <w:basedOn w:val="DefaultParagraphFont"/>
    <w:uiPriority w:val="21"/>
    <w:qFormat/>
    <w:rsid w:val="00F44F3E"/>
    <w:rPr>
      <w:i/>
      <w:iCs/>
      <w:color w:val="0F4761" w:themeColor="accent1" w:themeShade="BF"/>
    </w:rPr>
  </w:style>
  <w:style w:type="paragraph" w:styleId="IntenseQuote">
    <w:name w:val="Intense Quote"/>
    <w:basedOn w:val="Normal"/>
    <w:next w:val="Normal"/>
    <w:link w:val="IntenseQuoteChar"/>
    <w:uiPriority w:val="30"/>
    <w:qFormat/>
    <w:rsid w:val="00F44F3E"/>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F44F3E"/>
    <w:rPr>
      <w:i/>
      <w:iCs/>
      <w:color w:val="0F4761" w:themeColor="accent1" w:themeShade="BF"/>
    </w:rPr>
  </w:style>
  <w:style w:type="character" w:styleId="IntenseReference">
    <w:name w:val="Intense Reference"/>
    <w:basedOn w:val="DefaultParagraphFont"/>
    <w:uiPriority w:val="32"/>
    <w:qFormat/>
    <w:rsid w:val="00F44F3E"/>
    <w:rPr>
      <w:b/>
      <w:bCs/>
      <w:smallCaps/>
      <w:color w:val="0F4761" w:themeColor="accent1" w:themeShade="BF"/>
      <w:spacing w:val="5"/>
    </w:rPr>
  </w:style>
  <w:style w:type="character" w:styleId="ListParagraphChar" w:customStyle="1">
    <w:name w:val="List Paragraph Char"/>
    <w:aliases w:val="Bullet List Char,FooterText Char,List Paragraph1 Char,numbered Char,Paragraphe de liste1 Char,Bulletr List Paragraph Char,Foot Char,列出段落 Char,列出段落1 Char,List Paragraph2 Char,List Paragraph21 Char,Párrafo de lista1 Char,リスト段落1 Char"/>
    <w:link w:val="ListParagraph"/>
    <w:uiPriority w:val="34"/>
    <w:qFormat/>
    <w:locked/>
    <w:rsid w:val="00F44F3E"/>
  </w:style>
  <w:style w:type="character" w:styleId="Hyperlink">
    <w:name w:val="Hyperlink"/>
    <w:basedOn w:val="DefaultParagraphFont"/>
    <w:uiPriority w:val="99"/>
    <w:unhideWhenUsed/>
    <w:rsid w:val="00F44F3E"/>
    <w:rPr>
      <w:color w:val="467886" w:themeColor="hyperlink"/>
      <w:u w:val="single"/>
    </w:rPr>
  </w:style>
  <w:style w:type="table" w:styleId="PlainTable4">
    <w:name w:val="Plain Table 4"/>
    <w:basedOn w:val="TableNormal"/>
    <w:uiPriority w:val="44"/>
    <w:rsid w:val="00EC529A"/>
    <w:pPr>
      <w:spacing w:after="0" w:line="240" w:lineRule="auto"/>
    </w:pPr>
    <w:rPr>
      <w:rFonts w:asciiTheme="minorHAnsi" w:hAnsiTheme="minorHAnsi" w:cstheme="minorBidi"/>
      <w:kern w:val="0"/>
      <w:szCs w:val="24"/>
      <w14:ligatures w14:val="none"/>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1">
    <w:name w:val="Plain Table 1"/>
    <w:basedOn w:val="TableNormal"/>
    <w:uiPriority w:val="41"/>
    <w:rsid w:val="00EC529A"/>
    <w:pPr>
      <w:spacing w:after="0" w:line="240" w:lineRule="auto"/>
    </w:pPr>
    <w:rPr>
      <w:rFonts w:asciiTheme="minorHAnsi" w:hAnsiTheme="minorHAnsi" w:cstheme="minorBidi"/>
      <w:kern w:val="0"/>
      <w:szCs w:val="24"/>
      <w14:ligatures w14:val="none"/>
    </w:rPr>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paragraph" w:customStyle="1">
    <w:name w:val="paragraph"/>
    <w:basedOn w:val="Normal"/>
    <w:rsid w:val="00EC529A"/>
    <w:pPr>
      <w:spacing w:before="100" w:beforeAutospacing="1" w:after="100" w:afterAutospacing="1"/>
    </w:pPr>
  </w:style>
  <w:style w:type="character" w:styleId="normaltextrun" w:customStyle="1">
    <w:name w:val="normaltextrun"/>
    <w:basedOn w:val="DefaultParagraphFont"/>
    <w:rsid w:val="00EC529A"/>
  </w:style>
  <w:style w:type="character" w:styleId="eop" w:customStyle="1">
    <w:name w:val="eop"/>
    <w:basedOn w:val="DefaultParagraphFont"/>
    <w:rsid w:val="00EC529A"/>
  </w:style>
  <w:style w:type="paragraph" w:styleId="Caption">
    <w:name w:val="caption"/>
    <w:basedOn w:val="Normal"/>
    <w:next w:val="Normal"/>
    <w:uiPriority w:val="35"/>
    <w:unhideWhenUsed/>
    <w:qFormat/>
    <w:rsid w:val="00EC529A"/>
    <w:pPr>
      <w:spacing w:after="200"/>
    </w:pPr>
    <w:rPr>
      <w:i/>
      <w:iCs/>
      <w:color w:val="0E2841" w:themeColor="text2"/>
      <w:sz w:val="18"/>
      <w:szCs w:val="18"/>
    </w:rPr>
  </w:style>
  <w:style w:type="character" w:styleId="tabchar" w:customStyle="1">
    <w:name w:val="tabchar"/>
    <w:basedOn w:val="DefaultParagraphFont"/>
    <w:rsid w:val="00EC529A"/>
  </w:style>
  <w:style w:type="paragraph" w:styleId="CommentText">
    <w:name w:val="annotation text"/>
    <w:basedOn w:val="Normal"/>
    <w:link w:val="CommentTextChar"/>
    <w:uiPriority w:val="99"/>
    <w:semiHidden/>
    <w:unhideWhenUsed/>
    <w:rPr>
      <w:sz w:val="20"/>
      <w:szCs w:val="20"/>
    </w:rPr>
  </w:style>
  <w:style w:type="character" w:styleId="CommentTextChar" w:customStyle="1">
    <w:name w:val="Comment Text Char"/>
    <w:basedOn w:val="DefaultParagraphFont"/>
    <w:link w:val="CommentText"/>
    <w:uiPriority w:val="99"/>
    <w:semiHidden/>
    <w:rPr>
      <w:rFonts w:ascii="Times New Roman" w:hAnsi="Times New Roman" w:eastAsia="Times New Roman" w:cs="Times New Roman"/>
      <w:kern w:val="0"/>
      <w:sz w:val="20"/>
      <w:szCs w:val="20"/>
      <w:lang w:eastAsia="es-CO"/>
      <w14:ligatures w14:val="none"/>
    </w:rPr>
  </w:style>
  <w:style w:type="character" w:styleId="CommentReference">
    <w:name w:val="annotation reference"/>
    <w:basedOn w:val="DefaultParagraphFont"/>
    <w:uiPriority w:val="99"/>
    <w:semiHidden/>
    <w:unhideWhenUsed/>
    <w:rPr>
      <w:sz w:val="16"/>
      <w:szCs w:val="16"/>
    </w:rPr>
  </w:style>
  <w:style w:type="paragraph" w:styleId="p1" w:customStyle="1">
    <w:name w:val="p1"/>
    <w:basedOn w:val="Normal"/>
    <w:rsid w:val="004D1833"/>
    <w:pPr>
      <w:spacing w:before="100" w:beforeAutospacing="1" w:after="100" w:afterAutospacing="1"/>
    </w:pPr>
    <w:rPr>
      <w:lang w:eastAsia="es-MX"/>
    </w:rPr>
  </w:style>
  <w:style w:type="paragraph" w:styleId="p2" w:customStyle="1">
    <w:name w:val="p2"/>
    <w:basedOn w:val="Normal"/>
    <w:rsid w:val="004D1833"/>
    <w:pPr>
      <w:spacing w:before="100" w:beforeAutospacing="1" w:after="100" w:afterAutospacing="1"/>
    </w:pPr>
    <w:rPr>
      <w:lang w:eastAsia="es-MX"/>
    </w:rPr>
  </w:style>
  <w:style w:type="character" w:styleId="s1" w:customStyle="1">
    <w:name w:val="s1"/>
    <w:basedOn w:val="DefaultParagraphFont"/>
    <w:rsid w:val="00806151"/>
  </w:style>
  <w:style w:type="paragraph" w:styleId="p3" w:customStyle="1">
    <w:name w:val="p3"/>
    <w:basedOn w:val="Normal"/>
    <w:rsid w:val="00806151"/>
    <w:pPr>
      <w:spacing w:before="100" w:beforeAutospacing="1" w:after="100" w:afterAutospacing="1"/>
    </w:pPr>
    <w:rPr>
      <w:lang w:eastAsia="es-MX"/>
    </w:rPr>
  </w:style>
  <w:style w:type="paragraph" w:styleId="CommentSubject">
    <w:name w:val="annotation subject"/>
    <w:basedOn w:val="CommentText"/>
    <w:next w:val="CommentText"/>
    <w:link w:val="CommentSubjectChar"/>
    <w:uiPriority w:val="99"/>
    <w:semiHidden/>
    <w:unhideWhenUsed/>
    <w:rsid w:val="00E05C90"/>
    <w:rPr>
      <w:b/>
      <w:bCs/>
    </w:rPr>
  </w:style>
  <w:style w:type="character" w:styleId="CommentSubjectChar" w:customStyle="1">
    <w:name w:val="Comment Subject Char"/>
    <w:basedOn w:val="CommentTextChar"/>
    <w:link w:val="CommentSubject"/>
    <w:uiPriority w:val="99"/>
    <w:semiHidden/>
    <w:rsid w:val="00E05C90"/>
    <w:rPr>
      <w:rFonts w:ascii="Times New Roman" w:hAnsi="Times New Roman" w:eastAsia="Times New Roman" w:cs="Times New Roman"/>
      <w:b/>
      <w:bCs/>
      <w:kern w:val="0"/>
      <w:sz w:val="20"/>
      <w:szCs w:val="20"/>
      <w:lang w:eastAsia="es-CO"/>
      <w14:ligatures w14:val="none"/>
    </w:rPr>
  </w:style>
  <w:style w:type="character" w:styleId="Mention">
    <w:name w:val="Mention"/>
    <w:basedOn w:val="DefaultParagraphFont"/>
    <w:uiPriority w:val="99"/>
    <w:unhideWhenUsed/>
    <w:rsid w:val="00E05C90"/>
    <w:rPr>
      <w:color w:val="2B579A"/>
      <w:shd w:val="clear" w:color="auto" w:fill="E1DFDD"/>
    </w:rPr>
  </w:style>
  <w:style w:type="paragraph" w:styleId="isselectedend" w:customStyle="1">
    <w:name w:val="isselectedend"/>
    <w:basedOn w:val="Normal"/>
    <w:rsid w:val="00AE2EB8"/>
    <w:pPr>
      <w:spacing w:before="100" w:beforeAutospacing="1" w:after="100" w:afterAutospacing="1"/>
    </w:pPr>
  </w:style>
  <w:style w:type="character" w:styleId="Strong">
    <w:name w:val="Strong"/>
    <w:basedOn w:val="DefaultParagraphFont"/>
    <w:uiPriority w:val="22"/>
    <w:qFormat/>
    <w:rsid w:val="00AE2EB8"/>
    <w:rPr>
      <w:b/>
      <w:bCs/>
    </w:rPr>
  </w:style>
  <w:style w:type="paragraph" w:styleId="NormalWeb">
    <w:name w:val="Normal (Web)"/>
    <w:basedOn w:val="Normal"/>
    <w:uiPriority w:val="99"/>
    <w:unhideWhenUsed/>
    <w:rsid w:val="00AE2EB8"/>
    <w:pPr>
      <w:spacing w:before="100" w:beforeAutospacing="1" w:after="100" w:afterAutospacing="1"/>
    </w:pPr>
  </w:style>
  <w:style w:type="character" w:styleId="UnresolvedMention">
    <w:name w:val="Unresolved Mention"/>
    <w:basedOn w:val="DefaultParagraphFont"/>
    <w:uiPriority w:val="99"/>
    <w:semiHidden/>
    <w:unhideWhenUsed/>
    <w:rsid w:val="00CC401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140794">
      <w:bodyDiv w:val="1"/>
      <w:marLeft w:val="0"/>
      <w:marRight w:val="0"/>
      <w:marTop w:val="0"/>
      <w:marBottom w:val="0"/>
      <w:divBdr>
        <w:top w:val="none" w:sz="0" w:space="0" w:color="auto"/>
        <w:left w:val="none" w:sz="0" w:space="0" w:color="auto"/>
        <w:bottom w:val="none" w:sz="0" w:space="0" w:color="auto"/>
        <w:right w:val="none" w:sz="0" w:space="0" w:color="auto"/>
      </w:divBdr>
    </w:div>
    <w:div w:id="42563090">
      <w:bodyDiv w:val="1"/>
      <w:marLeft w:val="0"/>
      <w:marRight w:val="0"/>
      <w:marTop w:val="0"/>
      <w:marBottom w:val="0"/>
      <w:divBdr>
        <w:top w:val="none" w:sz="0" w:space="0" w:color="auto"/>
        <w:left w:val="none" w:sz="0" w:space="0" w:color="auto"/>
        <w:bottom w:val="none" w:sz="0" w:space="0" w:color="auto"/>
        <w:right w:val="none" w:sz="0" w:space="0" w:color="auto"/>
      </w:divBdr>
    </w:div>
    <w:div w:id="265311368">
      <w:bodyDiv w:val="1"/>
      <w:marLeft w:val="0"/>
      <w:marRight w:val="0"/>
      <w:marTop w:val="0"/>
      <w:marBottom w:val="0"/>
      <w:divBdr>
        <w:top w:val="none" w:sz="0" w:space="0" w:color="auto"/>
        <w:left w:val="none" w:sz="0" w:space="0" w:color="auto"/>
        <w:bottom w:val="none" w:sz="0" w:space="0" w:color="auto"/>
        <w:right w:val="none" w:sz="0" w:space="0" w:color="auto"/>
      </w:divBdr>
    </w:div>
    <w:div w:id="296910251">
      <w:bodyDiv w:val="1"/>
      <w:marLeft w:val="0"/>
      <w:marRight w:val="0"/>
      <w:marTop w:val="0"/>
      <w:marBottom w:val="0"/>
      <w:divBdr>
        <w:top w:val="none" w:sz="0" w:space="0" w:color="auto"/>
        <w:left w:val="none" w:sz="0" w:space="0" w:color="auto"/>
        <w:bottom w:val="none" w:sz="0" w:space="0" w:color="auto"/>
        <w:right w:val="none" w:sz="0" w:space="0" w:color="auto"/>
      </w:divBdr>
    </w:div>
    <w:div w:id="581335564">
      <w:bodyDiv w:val="1"/>
      <w:marLeft w:val="0"/>
      <w:marRight w:val="0"/>
      <w:marTop w:val="0"/>
      <w:marBottom w:val="0"/>
      <w:divBdr>
        <w:top w:val="none" w:sz="0" w:space="0" w:color="auto"/>
        <w:left w:val="none" w:sz="0" w:space="0" w:color="auto"/>
        <w:bottom w:val="none" w:sz="0" w:space="0" w:color="auto"/>
        <w:right w:val="none" w:sz="0" w:space="0" w:color="auto"/>
      </w:divBdr>
    </w:div>
    <w:div w:id="756899008">
      <w:bodyDiv w:val="1"/>
      <w:marLeft w:val="0"/>
      <w:marRight w:val="0"/>
      <w:marTop w:val="0"/>
      <w:marBottom w:val="0"/>
      <w:divBdr>
        <w:top w:val="none" w:sz="0" w:space="0" w:color="auto"/>
        <w:left w:val="none" w:sz="0" w:space="0" w:color="auto"/>
        <w:bottom w:val="none" w:sz="0" w:space="0" w:color="auto"/>
        <w:right w:val="none" w:sz="0" w:space="0" w:color="auto"/>
      </w:divBdr>
    </w:div>
    <w:div w:id="800003891">
      <w:bodyDiv w:val="1"/>
      <w:marLeft w:val="0"/>
      <w:marRight w:val="0"/>
      <w:marTop w:val="0"/>
      <w:marBottom w:val="0"/>
      <w:divBdr>
        <w:top w:val="none" w:sz="0" w:space="0" w:color="auto"/>
        <w:left w:val="none" w:sz="0" w:space="0" w:color="auto"/>
        <w:bottom w:val="none" w:sz="0" w:space="0" w:color="auto"/>
        <w:right w:val="none" w:sz="0" w:space="0" w:color="auto"/>
      </w:divBdr>
    </w:div>
    <w:div w:id="916943590">
      <w:bodyDiv w:val="1"/>
      <w:marLeft w:val="0"/>
      <w:marRight w:val="0"/>
      <w:marTop w:val="0"/>
      <w:marBottom w:val="0"/>
      <w:divBdr>
        <w:top w:val="none" w:sz="0" w:space="0" w:color="auto"/>
        <w:left w:val="none" w:sz="0" w:space="0" w:color="auto"/>
        <w:bottom w:val="none" w:sz="0" w:space="0" w:color="auto"/>
        <w:right w:val="none" w:sz="0" w:space="0" w:color="auto"/>
      </w:divBdr>
    </w:div>
    <w:div w:id="967399894">
      <w:bodyDiv w:val="1"/>
      <w:marLeft w:val="0"/>
      <w:marRight w:val="0"/>
      <w:marTop w:val="0"/>
      <w:marBottom w:val="0"/>
      <w:divBdr>
        <w:top w:val="none" w:sz="0" w:space="0" w:color="auto"/>
        <w:left w:val="none" w:sz="0" w:space="0" w:color="auto"/>
        <w:bottom w:val="none" w:sz="0" w:space="0" w:color="auto"/>
        <w:right w:val="none" w:sz="0" w:space="0" w:color="auto"/>
      </w:divBdr>
    </w:div>
    <w:div w:id="1077553209">
      <w:bodyDiv w:val="1"/>
      <w:marLeft w:val="0"/>
      <w:marRight w:val="0"/>
      <w:marTop w:val="0"/>
      <w:marBottom w:val="0"/>
      <w:divBdr>
        <w:top w:val="none" w:sz="0" w:space="0" w:color="auto"/>
        <w:left w:val="none" w:sz="0" w:space="0" w:color="auto"/>
        <w:bottom w:val="none" w:sz="0" w:space="0" w:color="auto"/>
        <w:right w:val="none" w:sz="0" w:space="0" w:color="auto"/>
      </w:divBdr>
    </w:div>
    <w:div w:id="1263413940">
      <w:bodyDiv w:val="1"/>
      <w:marLeft w:val="0"/>
      <w:marRight w:val="0"/>
      <w:marTop w:val="0"/>
      <w:marBottom w:val="0"/>
      <w:divBdr>
        <w:top w:val="none" w:sz="0" w:space="0" w:color="auto"/>
        <w:left w:val="none" w:sz="0" w:space="0" w:color="auto"/>
        <w:bottom w:val="none" w:sz="0" w:space="0" w:color="auto"/>
        <w:right w:val="none" w:sz="0" w:space="0" w:color="auto"/>
      </w:divBdr>
    </w:div>
    <w:div w:id="1476293037">
      <w:bodyDiv w:val="1"/>
      <w:marLeft w:val="0"/>
      <w:marRight w:val="0"/>
      <w:marTop w:val="0"/>
      <w:marBottom w:val="0"/>
      <w:divBdr>
        <w:top w:val="none" w:sz="0" w:space="0" w:color="auto"/>
        <w:left w:val="none" w:sz="0" w:space="0" w:color="auto"/>
        <w:bottom w:val="none" w:sz="0" w:space="0" w:color="auto"/>
        <w:right w:val="none" w:sz="0" w:space="0" w:color="auto"/>
      </w:divBdr>
    </w:div>
    <w:div w:id="1655916189">
      <w:bodyDiv w:val="1"/>
      <w:marLeft w:val="0"/>
      <w:marRight w:val="0"/>
      <w:marTop w:val="0"/>
      <w:marBottom w:val="0"/>
      <w:divBdr>
        <w:top w:val="none" w:sz="0" w:space="0" w:color="auto"/>
        <w:left w:val="none" w:sz="0" w:space="0" w:color="auto"/>
        <w:bottom w:val="none" w:sz="0" w:space="0" w:color="auto"/>
        <w:right w:val="none" w:sz="0" w:space="0" w:color="auto"/>
      </w:divBdr>
    </w:div>
    <w:div w:id="1749034242">
      <w:bodyDiv w:val="1"/>
      <w:marLeft w:val="0"/>
      <w:marRight w:val="0"/>
      <w:marTop w:val="0"/>
      <w:marBottom w:val="0"/>
      <w:divBdr>
        <w:top w:val="none" w:sz="0" w:space="0" w:color="auto"/>
        <w:left w:val="none" w:sz="0" w:space="0" w:color="auto"/>
        <w:bottom w:val="none" w:sz="0" w:space="0" w:color="auto"/>
        <w:right w:val="none" w:sz="0" w:space="0" w:color="auto"/>
      </w:divBdr>
    </w:div>
    <w:div w:id="1831478687">
      <w:bodyDiv w:val="1"/>
      <w:marLeft w:val="0"/>
      <w:marRight w:val="0"/>
      <w:marTop w:val="0"/>
      <w:marBottom w:val="0"/>
      <w:divBdr>
        <w:top w:val="none" w:sz="0" w:space="0" w:color="auto"/>
        <w:left w:val="none" w:sz="0" w:space="0" w:color="auto"/>
        <w:bottom w:val="none" w:sz="0" w:space="0" w:color="auto"/>
        <w:right w:val="none" w:sz="0" w:space="0" w:color="auto"/>
      </w:divBdr>
      <w:divsChild>
        <w:div w:id="302318858">
          <w:marLeft w:val="0"/>
          <w:marRight w:val="0"/>
          <w:marTop w:val="0"/>
          <w:marBottom w:val="0"/>
          <w:divBdr>
            <w:top w:val="none" w:sz="0" w:space="0" w:color="auto"/>
            <w:left w:val="none" w:sz="0" w:space="0" w:color="auto"/>
            <w:bottom w:val="none" w:sz="0" w:space="0" w:color="auto"/>
            <w:right w:val="none" w:sz="0" w:space="0" w:color="auto"/>
          </w:divBdr>
        </w:div>
        <w:div w:id="1282766753">
          <w:marLeft w:val="0"/>
          <w:marRight w:val="0"/>
          <w:marTop w:val="0"/>
          <w:marBottom w:val="0"/>
          <w:divBdr>
            <w:top w:val="none" w:sz="0" w:space="0" w:color="auto"/>
            <w:left w:val="none" w:sz="0" w:space="0" w:color="auto"/>
            <w:bottom w:val="none" w:sz="0" w:space="0" w:color="auto"/>
            <w:right w:val="none" w:sz="0" w:space="0" w:color="auto"/>
          </w:divBdr>
        </w:div>
      </w:divsChild>
    </w:div>
    <w:div w:id="1840194238">
      <w:bodyDiv w:val="1"/>
      <w:marLeft w:val="0"/>
      <w:marRight w:val="0"/>
      <w:marTop w:val="0"/>
      <w:marBottom w:val="0"/>
      <w:divBdr>
        <w:top w:val="none" w:sz="0" w:space="0" w:color="auto"/>
        <w:left w:val="none" w:sz="0" w:space="0" w:color="auto"/>
        <w:bottom w:val="none" w:sz="0" w:space="0" w:color="auto"/>
        <w:right w:val="none" w:sz="0" w:space="0" w:color="auto"/>
      </w:divBdr>
    </w:div>
    <w:div w:id="1913612020">
      <w:bodyDiv w:val="1"/>
      <w:marLeft w:val="0"/>
      <w:marRight w:val="0"/>
      <w:marTop w:val="0"/>
      <w:marBottom w:val="0"/>
      <w:divBdr>
        <w:top w:val="none" w:sz="0" w:space="0" w:color="auto"/>
        <w:left w:val="none" w:sz="0" w:space="0" w:color="auto"/>
        <w:bottom w:val="none" w:sz="0" w:space="0" w:color="auto"/>
        <w:right w:val="none" w:sz="0" w:space="0" w:color="auto"/>
      </w:divBdr>
    </w:div>
    <w:div w:id="20080982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hyperlink" Target="https://normativame.minenergia.gov.co/normatividad/7091/norma/" TargetMode="External" Id="rId13" /><Relationship Type="http://schemas.openxmlformats.org/officeDocument/2006/relationships/image" Target="media/image3.png" Id="rId18" /><Relationship Type="http://schemas.openxmlformats.org/officeDocument/2006/relationships/image" Target="media/image10.png" Id="rId26" /><Relationship Type="http://schemas.openxmlformats.org/officeDocument/2006/relationships/customXml" Target="../customXml/item3.xml" Id="rId3" /><Relationship Type="http://schemas.openxmlformats.org/officeDocument/2006/relationships/image" Target="media/image5.png" Id="rId21" /><Relationship Type="http://schemas.openxmlformats.org/officeDocument/2006/relationships/webSettings" Target="webSettings.xml" Id="rId7" /><Relationship Type="http://schemas.openxmlformats.org/officeDocument/2006/relationships/hyperlink" Target="https://normativame.minenergia.gov.co/normatividad/7082/norma/" TargetMode="External" Id="rId12" /><Relationship Type="http://schemas.openxmlformats.org/officeDocument/2006/relationships/hyperlink" Target="https://normativame.minenergia.gov.co/normatividad/7445/norma/" TargetMode="External" Id="rId17" /><Relationship Type="http://schemas.openxmlformats.org/officeDocument/2006/relationships/image" Target="media/image9.png" Id="rId25" /><Relationship Type="http://schemas.openxmlformats.org/officeDocument/2006/relationships/customXml" Target="../customXml/item2.xml" Id="rId2" /><Relationship Type="http://schemas.openxmlformats.org/officeDocument/2006/relationships/hyperlink" Target="https://normativame.minenergia.gov.co/normatividad/7440/norma/" TargetMode="External" Id="rId16" /><Relationship Type="http://schemas.openxmlformats.org/officeDocument/2006/relationships/image" Target="media/image4.png" Id="rId20" /><Relationship Type="http://schemas.openxmlformats.org/officeDocument/2006/relationships/theme" Target="theme/theme1.xml" Id="rId29"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hyperlink" Target="https://normativame.minenergia.gov.co/normatividad/6995/norma/" TargetMode="External" Id="rId11" /><Relationship Type="http://schemas.openxmlformats.org/officeDocument/2006/relationships/image" Target="media/image8.png" Id="rId24" /><Relationship Type="http://schemas.openxmlformats.org/officeDocument/2006/relationships/styles" Target="styles.xml" Id="rId5" /><Relationship Type="http://schemas.openxmlformats.org/officeDocument/2006/relationships/hyperlink" Target="https://normativame.minenergia.gov.co/normatividad/7439/norma/" TargetMode="External" Id="rId15" /><Relationship Type="http://schemas.openxmlformats.org/officeDocument/2006/relationships/image" Target="media/image7.png" Id="rId23" /><Relationship Type="http://schemas.openxmlformats.org/officeDocument/2006/relationships/fontTable" Target="fontTable.xml" Id="rId28" /><Relationship Type="http://schemas.openxmlformats.org/officeDocument/2006/relationships/hyperlink" Target="https://normativame.minenergia.gov.co/normatividad/6698/norma/" TargetMode="External" Id="rId10" /><Relationship Type="http://schemas.openxmlformats.org/officeDocument/2006/relationships/chart" Target="charts/chart1.xml" Id="rId19" /><Relationship Type="http://schemas.openxmlformats.org/officeDocument/2006/relationships/numbering" Target="numbering.xml" Id="rId4" /><Relationship Type="http://schemas.openxmlformats.org/officeDocument/2006/relationships/image" Target="media/image2.png" Id="rId9" /><Relationship Type="http://schemas.openxmlformats.org/officeDocument/2006/relationships/hyperlink" Target="https://normativame.minenergia.gov.co/normatividad/7300/norma/" TargetMode="External" Id="rId14" /><Relationship Type="http://schemas.openxmlformats.org/officeDocument/2006/relationships/image" Target="media/image6.png" Id="rId22" /><Relationship Type="http://schemas.openxmlformats.org/officeDocument/2006/relationships/image" Target="media/image11.png" Id="rId27" /></Relationships>
</file>

<file path=word/charts/_rels/chart1.xml.rels><?xml version="1.0" encoding="UTF-8" standalone="yes"?>
<Relationships xmlns="http://schemas.openxmlformats.org/package/2006/relationships"><Relationship Id="rId3" Type="http://schemas.openxmlformats.org/officeDocument/2006/relationships/oleObject" Target="https://minenergiacol-my.sharepoint.com/personal/fatovar_minenergia_gov_co/Documents/MIS%20DOCUMENTOS/EVIDENCIAS/2026/06.%20Junio/A.%20Datos%20DNA%202026.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
                <a:ea typeface="+mn-ea"/>
                <a:cs typeface="+mn-cs"/>
              </a:defRPr>
            </a:pPr>
            <a:r>
              <a:rPr lang="es-MX">
                <a:latin typeface=""/>
              </a:rPr>
              <a:t>DNA Programada</a:t>
            </a:r>
            <a:r>
              <a:rPr lang="es-MX" baseline="0">
                <a:latin typeface=""/>
              </a:rPr>
              <a:t> y No Programada (MWh)</a:t>
            </a:r>
            <a:endParaRPr lang="es-MX">
              <a:latin typeface=""/>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
              <a:ea typeface="+mn-ea"/>
              <a:cs typeface="+mn-cs"/>
            </a:defRPr>
          </a:pPr>
          <a:endParaRPr lang="es-MX"/>
        </a:p>
      </c:txPr>
    </c:title>
    <c:autoTitleDeleted val="0"/>
    <c:plotArea>
      <c:layout/>
      <c:barChart>
        <c:barDir val="col"/>
        <c:grouping val="stacked"/>
        <c:varyColors val="0"/>
        <c:ser>
          <c:idx val="0"/>
          <c:order val="0"/>
          <c:tx>
            <c:strRef>
              <c:f>'2025'!$G$16</c:f>
              <c:strCache>
                <c:ptCount val="1"/>
                <c:pt idx="0">
                  <c:v>No Programada</c:v>
                </c:pt>
              </c:strCache>
            </c:strRef>
          </c:tx>
          <c:spPr>
            <a:solidFill>
              <a:schemeClr val="bg1">
                <a:lumMod val="50000"/>
              </a:schemeClr>
            </a:solidFill>
            <a:ln>
              <a:noFill/>
            </a:ln>
            <a:effectLst/>
          </c:spPr>
          <c:invertIfNegative val="0"/>
          <c:dPt>
            <c:idx val="0"/>
            <c:invertIfNegative val="0"/>
            <c:bubble3D val="0"/>
            <c:spPr>
              <a:solidFill>
                <a:schemeClr val="bg1">
                  <a:lumMod val="50000"/>
                </a:schemeClr>
              </a:solidFill>
              <a:ln w="38100">
                <a:solidFill>
                  <a:srgbClr val="FFC000"/>
                </a:solidFill>
              </a:ln>
              <a:effectLst/>
            </c:spPr>
            <c:extLst>
              <c:ext xmlns:c16="http://schemas.microsoft.com/office/drawing/2014/chart" uri="{C3380CC4-5D6E-409C-BE32-E72D297353CC}">
                <c16:uniqueId val="{00000001-F2EA-4354-B243-0DCD2362BD71}"/>
              </c:ext>
            </c:extLst>
          </c:dPt>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'2025'!$F$18</c:f>
              <c:numCache>
                <c:formatCode>General</c:formatCode>
                <c:ptCount val="1"/>
                <c:pt idx="0">
                  <c:v>2026</c:v>
                </c:pt>
              </c:numCache>
              <c:extLst/>
            </c:numRef>
          </c:cat>
          <c:val>
            <c:numRef>
              <c:f>'2025'!$G$18</c:f>
              <c:numCache>
                <c:formatCode>General</c:formatCode>
                <c:ptCount val="1"/>
                <c:pt idx="0">
                  <c:v>16933.2</c:v>
                </c:pt>
              </c:numCache>
              <c:extLst/>
            </c:numRef>
          </c:val>
          <c:extLst>
            <c:ext xmlns:c16="http://schemas.microsoft.com/office/drawing/2014/chart" uri="{C3380CC4-5D6E-409C-BE32-E72D297353CC}">
              <c16:uniqueId val="{00000002-F2EA-4354-B243-0DCD2362BD71}"/>
            </c:ext>
          </c:extLst>
        </c:ser>
        <c:ser>
          <c:idx val="1"/>
          <c:order val="1"/>
          <c:tx>
            <c:strRef>
              <c:f>'2025'!$H$16</c:f>
              <c:strCache>
                <c:ptCount val="1"/>
                <c:pt idx="0">
                  <c:v>Programada</c:v>
                </c:pt>
              </c:strCache>
            </c:strRef>
          </c:tx>
          <c:spPr>
            <a:solidFill>
              <a:schemeClr val="bg1">
                <a:lumMod val="75000"/>
              </a:schemeClr>
            </a:solidFill>
            <a:ln>
              <a:noFill/>
            </a:ln>
            <a:effectLst/>
          </c:spPr>
          <c:invertIfNegative val="0"/>
          <c:dPt>
            <c:idx val="0"/>
            <c:invertIfNegative val="0"/>
            <c:bubble3D val="0"/>
            <c:spPr>
              <a:solidFill>
                <a:schemeClr val="bg1">
                  <a:lumMod val="75000"/>
                </a:schemeClr>
              </a:solidFill>
              <a:ln w="38100">
                <a:solidFill>
                  <a:srgbClr val="FFC000"/>
                </a:solidFill>
              </a:ln>
              <a:effectLst/>
            </c:spPr>
            <c:extLst>
              <c:ext xmlns:c16="http://schemas.microsoft.com/office/drawing/2014/chart" uri="{C3380CC4-5D6E-409C-BE32-E72D297353CC}">
                <c16:uniqueId val="{00000004-F2EA-4354-B243-0DCD2362BD71}"/>
              </c:ext>
            </c:extLst>
          </c:dPt>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'2025'!$F$18</c:f>
              <c:numCache>
                <c:formatCode>General</c:formatCode>
                <c:ptCount val="1"/>
                <c:pt idx="0">
                  <c:v>2026</c:v>
                </c:pt>
              </c:numCache>
              <c:extLst/>
            </c:numRef>
          </c:cat>
          <c:val>
            <c:numRef>
              <c:f>'2025'!$H$18</c:f>
              <c:numCache>
                <c:formatCode>General</c:formatCode>
                <c:ptCount val="1"/>
                <c:pt idx="0">
                  <c:v>9329.07</c:v>
                </c:pt>
              </c:numCache>
              <c:extLst/>
            </c:numRef>
          </c:val>
          <c:extLst>
            <c:ext xmlns:c16="http://schemas.microsoft.com/office/drawing/2014/chart" uri="{C3380CC4-5D6E-409C-BE32-E72D297353CC}">
              <c16:uniqueId val="{00000005-F2EA-4354-B243-0DCD2362BD71}"/>
            </c:ext>
          </c:extLst>
        </c:ser>
        <c:dLbls>
          <c:showLegendKey val="0"/>
          <c:showVal val="0"/>
          <c:showCatName val="0"/>
          <c:showSerName val="0"/>
          <c:showPercent val="0"/>
          <c:showBubbleSize val="0"/>
        </c:dLbls>
        <c:gapWidth val="40"/>
        <c:overlap val="100"/>
        <c:axId val="274803871"/>
        <c:axId val="274805583"/>
      </c:barChart>
      <c:catAx>
        <c:axId val="2748038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
                <a:ea typeface="+mn-ea"/>
                <a:cs typeface="+mn-cs"/>
              </a:defRPr>
            </a:pPr>
            <a:endParaRPr lang="es-CO"/>
          </a:p>
        </c:txPr>
        <c:crossAx val="274805583"/>
        <c:crosses val="autoZero"/>
        <c:auto val="1"/>
        <c:lblAlgn val="ctr"/>
        <c:lblOffset val="100"/>
        <c:noMultiLvlLbl val="0"/>
      </c:catAx>
      <c:valAx>
        <c:axId val="27480558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
                <a:ea typeface="+mn-ea"/>
                <a:cs typeface="+mn-cs"/>
              </a:defRPr>
            </a:pPr>
            <a:endParaRPr lang="es-CO"/>
          </a:p>
        </c:txPr>
        <c:crossAx val="27480387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
              <a:ea typeface="+mn-ea"/>
              <a:cs typeface="+mn-cs"/>
            </a:defRPr>
          </a:pPr>
          <a:endParaRPr lang="es-CO"/>
        </a:p>
      </c:txPr>
    </c:legend>
    <c:plotVisOnly val="1"/>
    <c:dispBlanksAs val="gap"/>
    <c:showDLblsOverMax val="0"/>
  </c:chart>
  <c:spPr>
    <a:solidFill>
      <a:schemeClr val="bg1"/>
    </a:solidFill>
    <a:ln w="9525" cap="flat" cmpd="sng" algn="ctr">
      <a:solidFill>
        <a:schemeClr val="bg1">
          <a:lumMod val="6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1D2AC1A0CAA71244BE1C830520B3580B" ma:contentTypeVersion="20" ma:contentTypeDescription="Crear nuevo documento." ma:contentTypeScope="" ma:versionID="d5c3a08b4f380d25d30e14ea7bdd62ac">
  <xsd:schema xmlns:xsd="http://www.w3.org/2001/XMLSchema" xmlns:xs="http://www.w3.org/2001/XMLSchema" xmlns:p="http://schemas.microsoft.com/office/2006/metadata/properties" xmlns:ns2="ccaf9895-93ab-4536-b1cb-77a268359520" xmlns:ns3="189b51a7-d269-4f29-b142-79e8ee84f3f3" targetNamespace="http://schemas.microsoft.com/office/2006/metadata/properties" ma:root="true" ma:fieldsID="bff250eede24884c95f6806f9ee1f194" ns2:_="" ns3:_="">
    <xsd:import namespace="ccaf9895-93ab-4536-b1cb-77a268359520"/>
    <xsd:import namespace="189b51a7-d269-4f29-b142-79e8ee84f3f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LengthInSeconds" minOccurs="0"/>
                <xsd:element ref="ns2:MediaServiceLocation" minOccurs="0"/>
                <xsd:element ref="ns3:SharedWithUsers" minOccurs="0"/>
                <xsd:element ref="ns3:SharedWithDetails" minOccurs="0"/>
                <xsd:element ref="ns3: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af9895-93ab-4536-b1cb-77a2683595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89b51a7-d269-4f29-b142-79e8ee84f3f3" elementFormDefault="qualified">
    <xsd:import namespace="http://schemas.microsoft.com/office/2006/documentManagement/types"/>
    <xsd:import namespace="http://schemas.microsoft.com/office/infopath/2007/PartnerControls"/>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cc517a5c-2787-4b84-b078-20a6da190105}" ma:internalName="TaxCatchAll" ma:showField="CatchAllData" ma:web="189b51a7-d269-4f29-b142-79e8ee84f3f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caf9895-93ab-4536-b1cb-77a268359520">
      <Terms xmlns="http://schemas.microsoft.com/office/infopath/2007/PartnerControls"/>
    </lcf76f155ced4ddcb4097134ff3c332f>
    <TaxCatchAll xmlns="189b51a7-d269-4f29-b142-79e8ee84f3f3" xsi:nil="true"/>
  </documentManagement>
</p:properties>
</file>

<file path=customXml/itemProps1.xml><?xml version="1.0" encoding="utf-8"?>
<ds:datastoreItem xmlns:ds="http://schemas.openxmlformats.org/officeDocument/2006/customXml" ds:itemID="{90B4580F-CA12-4232-B2B2-677700CEA856}">
  <ds:schemaRefs>
    <ds:schemaRef ds:uri="http://schemas.microsoft.com/sharepoint/v3/contenttype/forms"/>
  </ds:schemaRefs>
</ds:datastoreItem>
</file>

<file path=customXml/itemProps2.xml><?xml version="1.0" encoding="utf-8"?>
<ds:datastoreItem xmlns:ds="http://schemas.openxmlformats.org/officeDocument/2006/customXml" ds:itemID="{BB09E4E0-5950-4DFA-B96C-EE0C507D0EBC}"/>
</file>

<file path=customXml/itemProps3.xml><?xml version="1.0" encoding="utf-8"?>
<ds:datastoreItem xmlns:ds="http://schemas.openxmlformats.org/officeDocument/2006/customXml" ds:itemID="{229EE6E5-7FF8-4182-BEC4-C5A823DA240E}">
  <ds:schemaRefs>
    <ds:schemaRef ds:uri="http://schemas.microsoft.com/office/2006/metadata/properties"/>
    <ds:schemaRef ds:uri="http://schemas.microsoft.com/office/infopath/2007/PartnerControls"/>
    <ds:schemaRef ds:uri="ccaf9895-93ab-4536-b1cb-77a268359520"/>
    <ds:schemaRef ds:uri="189b51a7-d269-4f29-b142-79e8ee84f3f3"/>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Diego Fernando Roman</dc:creator>
  <cp:keywords/>
  <dc:description/>
  <cp:lastModifiedBy>CRISTIAN HERNANDO BEJARANO CAICEDO</cp:lastModifiedBy>
  <cp:revision>434</cp:revision>
  <dcterms:created xsi:type="dcterms:W3CDTF">2026-04-06T01:56:00Z</dcterms:created>
  <dcterms:modified xsi:type="dcterms:W3CDTF">2026-06-04T16:02:57Z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0x0101001D2AC1A0CAA71244BE1C830520B3580B</vt:lpwstr>
  </property>
  <property fmtid="{D5CDD505-2E9C-101B-9397-08002B2CF9AE}" pid="3" name="MediaServiceImageTags">
    <vt:lpwstr/>
  </property>
</Properties>
</file>